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contextualSpacing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5</w:t>
      </w:r>
    </w:p>
    <w:p>
      <w:pPr>
        <w:pStyle w:val="Normal"/>
        <w:spacing w:before="0" w:after="0"/>
        <w:contextualSpacing/>
        <w:jc w:val="right"/>
        <w:rPr>
          <w:sz w:val="22"/>
          <w:szCs w:val="22"/>
        </w:rPr>
      </w:pPr>
      <w:r>
        <w:rPr>
          <w:sz w:val="22"/>
          <w:szCs w:val="22"/>
        </w:rPr>
        <w:t>к договору субподряда</w:t>
      </w:r>
    </w:p>
    <w:p>
      <w:pPr>
        <w:pStyle w:val="Normal"/>
        <w:spacing w:before="0" w:after="0"/>
        <w:contextualSpacing/>
        <w:jc w:val="right"/>
        <w:rPr>
          <w:sz w:val="22"/>
          <w:szCs w:val="22"/>
        </w:rPr>
      </w:pPr>
      <w:r>
        <w:rPr>
          <w:sz w:val="22"/>
          <w:szCs w:val="22"/>
        </w:rPr>
        <w:t>от «____» ___________ 202</w:t>
      </w:r>
      <w:r>
        <w:rPr>
          <w:sz w:val="22"/>
          <w:szCs w:val="22"/>
        </w:rPr>
        <w:t>___</w:t>
      </w:r>
      <w:r>
        <w:rPr>
          <w:sz w:val="22"/>
          <w:szCs w:val="22"/>
        </w:rPr>
        <w:t xml:space="preserve"> г. </w:t>
      </w:r>
    </w:p>
    <w:p>
      <w:pPr>
        <w:pStyle w:val="Normal"/>
        <w:spacing w:before="0" w:after="0"/>
        <w:contextualSpacing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№ </w:t>
      </w:r>
      <w:r>
        <w:rPr>
          <w:sz w:val="22"/>
          <w:szCs w:val="22"/>
        </w:rPr>
        <w:t xml:space="preserve">_________________________ </w:t>
      </w:r>
    </w:p>
    <w:p>
      <w:pPr>
        <w:pStyle w:val="Heading1"/>
        <w:spacing w:before="0" w:after="0"/>
        <w:contextualSpacing/>
        <w:jc w:val="center"/>
        <w:rPr>
          <w:rFonts w:ascii="Times New Roman" w:hAnsi="Times New Roman"/>
          <w:b w:val="false"/>
          <w:sz w:val="22"/>
          <w:szCs w:val="22"/>
        </w:rPr>
      </w:pPr>
      <w:r>
        <w:rPr>
          <w:rFonts w:ascii="Times New Roman" w:hAnsi="Times New Roman"/>
          <w:b w:val="false"/>
          <w:sz w:val="22"/>
          <w:szCs w:val="22"/>
        </w:rPr>
      </w:r>
    </w:p>
    <w:p>
      <w:pPr>
        <w:pStyle w:val="Heading1"/>
        <w:spacing w:before="0" w:after="0"/>
        <w:contextualSpacing/>
        <w:jc w:val="center"/>
        <w:rPr>
          <w:rFonts w:ascii="Times New Roman" w:hAnsi="Times New Roman"/>
          <w:b w:val="false"/>
          <w:sz w:val="22"/>
          <w:szCs w:val="22"/>
        </w:rPr>
      </w:pPr>
      <w:r>
        <w:rPr>
          <w:rFonts w:ascii="Times New Roman" w:hAnsi="Times New Roman"/>
          <w:b w:val="false"/>
          <w:sz w:val="22"/>
          <w:szCs w:val="22"/>
        </w:rPr>
        <w:t>Финансовое обеспечение договора</w:t>
      </w:r>
    </w:p>
    <w:p>
      <w:pPr>
        <w:pStyle w:val="Normal"/>
        <w:jc w:val="center"/>
        <w:rPr>
          <w:sz w:val="22"/>
          <w:szCs w:val="22"/>
        </w:rPr>
      </w:pPr>
      <w:r>
        <w:rPr>
          <w:sz w:val="22"/>
          <w:szCs w:val="22"/>
        </w:rPr>
        <w:t>Критерии отбора Банков-Гарантов</w:t>
      </w:r>
      <w:r>
        <w:rPr>
          <w:rStyle w:val="FootnoteReference"/>
          <w:sz w:val="22"/>
          <w:szCs w:val="22"/>
        </w:rPr>
        <w:footnoteReference w:customMarkFollows="1" w:id="2"/>
        <w:t>19</w:t>
      </w:r>
      <w:r>
        <w:rPr>
          <w:sz w:val="22"/>
          <w:szCs w:val="22"/>
        </w:rPr>
        <w:t>19</w:t>
      </w:r>
    </w:p>
    <w:p>
      <w:pPr>
        <w:pStyle w:val="Normal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Банк-Гарант (кредитная организация), выдающий банковскую гарантию, должен входить в перечень Банков-Гарантов Группы РусГидро</w:t>
      </w:r>
      <w:r>
        <w:rPr>
          <w:rStyle w:val="FootnoteReference"/>
          <w:sz w:val="22"/>
          <w:szCs w:val="22"/>
        </w:rPr>
        <w:footnoteReference w:customMarkFollows="1" w:id="3"/>
        <w:t>20</w:t>
      </w:r>
      <w:r>
        <w:rPr>
          <w:sz w:val="22"/>
          <w:szCs w:val="22"/>
        </w:rPr>
        <w:t xml:space="preserve">20, </w:t>
        <w:br/>
        <w:t>а также соответствовать следующим критериям:</w:t>
      </w:r>
    </w:p>
    <w:p>
      <w:pPr>
        <w:pStyle w:val="Normal"/>
        <w:numPr>
          <w:ilvl w:val="3"/>
          <w:numId w:val="7"/>
        </w:numPr>
        <w:tabs>
          <w:tab w:val="clear" w:pos="708"/>
          <w:tab w:val="left" w:pos="1134" w:leader="none"/>
        </w:tabs>
        <w:ind w:left="0" w:firstLine="709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Иметь действующую лицензию Центрального банка Российской Федерации (далее – ЦБ РФ) на осуществление банковских операций, при этом лицензия не должна быть приостановлена полностью или частично.</w:t>
      </w:r>
    </w:p>
    <w:p>
      <w:pPr>
        <w:pStyle w:val="Normal"/>
        <w:numPr>
          <w:ilvl w:val="3"/>
          <w:numId w:val="7"/>
        </w:numPr>
        <w:tabs>
          <w:tab w:val="clear" w:pos="708"/>
          <w:tab w:val="left" w:pos="1140" w:leader="none"/>
        </w:tabs>
        <w:ind w:left="0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Присутствовать в Перечне кредитных организаций, соответствующих требованиям, установленным ч. 1 ст. 2 Федерального закона от 21.07.2014 № 213-ФЗ «Об открытии банковских счетов </w:t>
        <w:br/>
        <w:t>и аккредитивов, о </w:t>
      </w:r>
      <w:r>
        <w:rPr>
          <w:sz w:val="22"/>
          <w:szCs w:val="22"/>
        </w:rPr>
        <w:t>заключении</w:t>
      </w:r>
      <w:r>
        <w:rPr>
          <w:color w:val="000000"/>
          <w:sz w:val="22"/>
          <w:szCs w:val="22"/>
        </w:rPr>
        <w:t xml:space="preserve"> договоров банковского вклада, договора на ведение реестра владельцев ценных бумаг хозяйственными обществами, имеющими стратегическое значение для оборонно-промышленного комплекса и безопасности Российской Федерации, и внесении изменений </w:t>
        <w:br/>
        <w:t>в отдельные законодательные акты Российской Федерации» (далее – 213-ФЗ) или иным документом, его заменяющим (в случае отмены 213-ФЗ).</w:t>
      </w:r>
    </w:p>
    <w:p>
      <w:pPr>
        <w:pStyle w:val="Normal"/>
        <w:numPr>
          <w:ilvl w:val="3"/>
          <w:numId w:val="7"/>
        </w:numPr>
        <w:tabs>
          <w:tab w:val="clear" w:pos="708"/>
          <w:tab w:val="left" w:pos="1140" w:leader="none"/>
        </w:tabs>
        <w:ind w:left="0" w:firstLine="709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Иметь собственные средства (капитал) в размере не менее 25 млрд. рублей на 1 января текущего календарного года  по данным отчетности </w:t>
        <w:br/>
        <w:t>(в</w:t>
      </w:r>
      <w:r>
        <w:rPr>
          <w:sz w:val="22"/>
          <w:szCs w:val="22"/>
        </w:rPr>
        <w:t xml:space="preserve"> соответствии с кодом формы по ОКУД 0409123 «Расчет собственных средств (капитала) («Базель </w:t>
      </w:r>
      <w:r>
        <w:rPr>
          <w:sz w:val="22"/>
          <w:szCs w:val="22"/>
          <w:lang w:val="en-US"/>
        </w:rPr>
        <w:t>III</w:t>
      </w:r>
      <w:r>
        <w:rPr>
          <w:sz w:val="22"/>
          <w:szCs w:val="22"/>
        </w:rPr>
        <w:t>») либо кодом формы по ОКУД 0409808 «Отчет об уровне достаточности капитала для покрытия рисков (публикуемая форма)»)</w:t>
      </w:r>
      <w:r>
        <w:rPr>
          <w:color w:val="000000"/>
          <w:sz w:val="22"/>
          <w:szCs w:val="22"/>
        </w:rPr>
        <w:t xml:space="preserve">, </w:t>
      </w:r>
      <w:r>
        <w:rPr>
          <w:sz w:val="22"/>
          <w:szCs w:val="22"/>
        </w:rPr>
        <w:t xml:space="preserve">опубликованной в информационно-телекоммуникационной сети </w:t>
      </w:r>
      <w:r>
        <w:rPr>
          <w:color w:val="000000"/>
          <w:sz w:val="22"/>
          <w:szCs w:val="22"/>
        </w:rPr>
        <w:t>«Интернет» (</w:t>
      </w:r>
      <w:hyperlink r:id="rId2">
        <w:r>
          <w:rPr>
            <w:rStyle w:val="Hyperlink"/>
            <w:color w:val="000000"/>
            <w:sz w:val="22"/>
            <w:szCs w:val="22"/>
          </w:rPr>
          <w:t>www.cbr.ru</w:t>
        </w:r>
      </w:hyperlink>
      <w:r>
        <w:rPr>
          <w:color w:val="000000"/>
          <w:sz w:val="22"/>
          <w:szCs w:val="22"/>
        </w:rPr>
        <w:t xml:space="preserve">) </w:t>
      </w:r>
      <w:r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на официальных сайтах ЦБ РФ и / или кредитной организации либо представленной кредитной организации Обществу. </w:t>
      </w:r>
    </w:p>
    <w:p>
      <w:pPr>
        <w:pStyle w:val="Normal"/>
        <w:numPr>
          <w:ilvl w:val="3"/>
          <w:numId w:val="7"/>
        </w:numPr>
        <w:tabs>
          <w:tab w:val="clear" w:pos="708"/>
          <w:tab w:val="left" w:pos="1140" w:leader="none"/>
        </w:tabs>
        <w:ind w:left="0" w:firstLine="709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Иметь кредитный рейтинг по национальной шкале не ниже уровня «ВВВ» рейтингового агентства АКРА или не ниже уровня «ruВВВ» рейтингового агентства Эксперт РА.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«ВВ» </w:t>
        <w:br/>
        <w:t>по классификации рейтинговых агентств «Fitch-Ratings» или «Standard &amp; Poor's» либо уровня «Bа2» по классификации рейтингового агентства «Moody's Investors Service</w:t>
      </w:r>
      <w:r>
        <w:rPr>
          <w:rStyle w:val="FootnoteReference"/>
          <w:sz w:val="22"/>
          <w:szCs w:val="22"/>
        </w:rPr>
        <w:footnoteReference w:customMarkFollows="1" w:id="4"/>
        <w:t>21</w:t>
      </w:r>
      <w:r>
        <w:rPr>
          <w:sz w:val="22"/>
          <w:szCs w:val="22"/>
        </w:rPr>
        <w:t>21.</w:t>
      </w:r>
    </w:p>
    <w:p>
      <w:pPr>
        <w:pStyle w:val="Normal"/>
        <w:numPr>
          <w:ilvl w:val="3"/>
          <w:numId w:val="7"/>
        </w:numPr>
        <w:tabs>
          <w:tab w:val="clear" w:pos="708"/>
          <w:tab w:val="left" w:pos="1140" w:leader="none"/>
        </w:tabs>
        <w:ind w:left="0" w:firstLine="709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Участвовать</w:t>
      </w:r>
      <w:r>
        <w:rPr>
          <w:sz w:val="22"/>
          <w:szCs w:val="22"/>
        </w:rPr>
        <w:t xml:space="preserve"> в системе обязательного страхования вкладов в банках Российской Федерации в соответствии с Федеральным законом от 23.12.2003 № 177-ФЗ «О страховании вкладов в банках Российской Федерации»</w:t>
      </w:r>
      <w:r>
        <w:rPr>
          <w:rStyle w:val="Style5"/>
          <w:sz w:val="22"/>
          <w:szCs w:val="22"/>
        </w:rPr>
        <w:t xml:space="preserve"> </w:t>
      </w:r>
      <w:r>
        <w:rPr>
          <w:rStyle w:val="FootnoteReference"/>
          <w:sz w:val="22"/>
          <w:szCs w:val="22"/>
        </w:rPr>
        <w:footnoteReference w:customMarkFollows="1" w:id="5"/>
        <w:t>22</w:t>
      </w:r>
      <w:r>
        <w:rPr>
          <w:sz w:val="22"/>
          <w:szCs w:val="22"/>
        </w:rPr>
        <w:t>22.</w:t>
      </w:r>
    </w:p>
    <w:p>
      <w:pPr>
        <w:pStyle w:val="Normal"/>
        <w:numPr>
          <w:ilvl w:val="3"/>
          <w:numId w:val="7"/>
        </w:numPr>
        <w:tabs>
          <w:tab w:val="clear" w:pos="708"/>
          <w:tab w:val="left" w:pos="1140" w:leader="none"/>
        </w:tabs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>Не находиться в процессе финансового оздоровления (санации), а также в реестре банков, находящихся в процессе финансового оздоровления (санации) (опубликован на сайте государственной корпорации «Агентство по страхованию вкладов» (http://www.asv.org.ru))».</w:t>
      </w:r>
    </w:p>
    <w:p>
      <w:pPr>
        <w:pStyle w:val="Normal"/>
        <w:numPr>
          <w:ilvl w:val="3"/>
          <w:numId w:val="7"/>
        </w:numPr>
        <w:tabs>
          <w:tab w:val="clear" w:pos="708"/>
          <w:tab w:val="left" w:pos="1140" w:leader="none"/>
        </w:tabs>
        <w:ind w:left="0" w:firstLine="709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Не иметь просроченную задолженность перед компаниями Группы РусГидро.</w:t>
      </w:r>
    </w:p>
    <w:p>
      <w:pPr>
        <w:pStyle w:val="Normal"/>
        <w:numPr>
          <w:ilvl w:val="3"/>
          <w:numId w:val="7"/>
        </w:numPr>
        <w:tabs>
          <w:tab w:val="clear" w:pos="708"/>
          <w:tab w:val="left" w:pos="1140" w:leader="none"/>
        </w:tabs>
        <w:ind w:left="0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Присутствовать</w:t>
      </w:r>
      <w:r>
        <w:rPr>
          <w:sz w:val="22"/>
          <w:szCs w:val="22"/>
        </w:rPr>
        <w:t xml:space="preserve"> (иметь отделение, филиал) по месту нахождения Общества, его обособленного подразделения или Филиала, для нужд которого заключается Договор</w:t>
      </w:r>
      <w:r>
        <w:rPr>
          <w:rStyle w:val="FootnoteReference"/>
          <w:sz w:val="22"/>
          <w:szCs w:val="22"/>
        </w:rPr>
        <w:footnoteReference w:customMarkFollows="1" w:id="6"/>
        <w:t>23</w:t>
      </w:r>
      <w:r>
        <w:rPr>
          <w:sz w:val="22"/>
          <w:szCs w:val="22"/>
        </w:rPr>
        <w:t>23.</w:t>
      </w:r>
    </w:p>
    <w:p>
      <w:pPr>
        <w:pStyle w:val="Normal"/>
        <w:numPr>
          <w:ilvl w:val="3"/>
          <w:numId w:val="7"/>
        </w:numPr>
        <w:tabs>
          <w:tab w:val="clear" w:pos="708"/>
          <w:tab w:val="left" w:pos="1140" w:leader="none"/>
        </w:tabs>
        <w:ind w:left="0" w:firstLine="709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Требования</w:t>
      </w:r>
      <w:r>
        <w:rPr>
          <w:sz w:val="22"/>
          <w:szCs w:val="22"/>
        </w:rPr>
        <w:t>, установленные пунктами 2 – 4 настоящих Критериев, не распространяются на кредитные организации:</w:t>
      </w:r>
    </w:p>
    <w:p>
      <w:pPr>
        <w:pStyle w:val="Normal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9.1. В отношении которых или в отношении лиц, под контролем либо значительным влиянием которых находятся кредитные организации, </w:t>
        <w:br/>
        <w:t xml:space="preserve">по состоянию на 01.01.2015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организации, в которой могут размещаться средства федерального бюджета на банковских депозитах в соответствии с постановлением Правительства Российской Федерации </w:t>
        <w:br/>
        <w:t>от 24.12.2011 № 1121 «О порядке размещения средств федерального бюджета,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и иных средств на банковских депозитах».</w:t>
      </w:r>
    </w:p>
    <w:p>
      <w:pPr>
        <w:pStyle w:val="Normal"/>
        <w:spacing w:before="0" w:after="0"/>
        <w:ind w:firstLine="709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9.2.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05.06.2015 № 287 «О мерах по дальнейшему развитию малого и среднего предпринимательства» </w:t>
        <w:br/>
        <w:t xml:space="preserve">и Федеральным законом от 24.07.2007 № 209-ФЗ «О развитии малого </w:t>
        <w:br/>
        <w:t>и среднего предпринимательства в Российской Федерации».</w:t>
      </w:r>
    </w:p>
    <w:p>
      <w:pPr>
        <w:pStyle w:val="Normal"/>
        <w:spacing w:before="0" w:after="0"/>
        <w:ind w:firstLine="709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9.3. Утвержденную Наблюдательным советом Ассоциации «НП «Совет рынка» в качестве уполномоченной кредитной организации, ответственной </w:t>
        <w:br/>
        <w:t>за проведение расчетов между субъектами ОРЭМ.</w:t>
      </w:r>
    </w:p>
    <w:p>
      <w:pPr>
        <w:pStyle w:val="Normal"/>
        <w:tabs>
          <w:tab w:val="clear" w:pos="708"/>
          <w:tab w:val="left" w:pos="1560" w:leader="none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9.4. ВЭБ.РФ.</w:t>
      </w:r>
    </w:p>
    <w:p>
      <w:pPr>
        <w:pStyle w:val="Normal"/>
        <w:tabs>
          <w:tab w:val="clear" w:pos="708"/>
          <w:tab w:val="left" w:pos="1560" w:leader="none"/>
        </w:tabs>
        <w:ind w:firstLine="709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9.5. Нерезидентов Российской Федерации.</w:t>
      </w:r>
    </w:p>
    <w:p>
      <w:pPr>
        <w:pStyle w:val="Normal"/>
        <w:numPr>
          <w:ilvl w:val="3"/>
          <w:numId w:val="7"/>
        </w:numPr>
        <w:tabs>
          <w:tab w:val="clear" w:pos="708"/>
          <w:tab w:val="left" w:pos="1140" w:leader="none"/>
        </w:tabs>
        <w:ind w:left="0" w:firstLine="709"/>
        <w:jc w:val="both"/>
        <w:rPr>
          <w:b/>
          <w:i/>
          <w:i/>
          <w:sz w:val="22"/>
          <w:szCs w:val="22"/>
        </w:rPr>
      </w:pPr>
      <w:r>
        <w:rPr>
          <w:color w:val="000000"/>
          <w:sz w:val="22"/>
          <w:szCs w:val="22"/>
        </w:rPr>
        <w:t>Максимальная</w:t>
      </w:r>
      <w:r>
        <w:rPr>
          <w:sz w:val="22"/>
          <w:szCs w:val="22"/>
        </w:rPr>
        <w:t xml:space="preserve"> сумма всех одновременно действующих банковских гарантий, выданных одной кредитной организацией, обеспечивающих обязательства контрагента перед Группой РусГидро, не должна превышать размер лимита риска, определяемого по формуле:</w:t>
      </w:r>
    </w:p>
    <w:p>
      <w:pPr>
        <w:pStyle w:val="Normal"/>
        <w:tabs>
          <w:tab w:val="clear" w:pos="708"/>
          <w:tab w:val="left" w:pos="1140" w:leader="none"/>
        </w:tabs>
        <w:ind w:left="709" w:hanging="0"/>
        <w:jc w:val="both"/>
        <w:rPr>
          <w:b/>
          <w:i/>
          <w:i/>
          <w:sz w:val="22"/>
          <w:szCs w:val="22"/>
        </w:rPr>
      </w:pPr>
      <w:r>
        <w:rPr>
          <w:b/>
          <w:i/>
          <w:sz w:val="22"/>
          <w:szCs w:val="22"/>
        </w:rPr>
      </w:r>
    </w:p>
    <w:p>
      <w:pPr>
        <w:pStyle w:val="Normal"/>
        <w:ind w:left="360" w:hanging="0"/>
        <w:jc w:val="center"/>
        <w:rPr>
          <w:sz w:val="22"/>
          <w:szCs w:val="22"/>
        </w:rPr>
      </w:pPr>
      <w:r>
        <w:rPr>
          <w:b/>
          <w:i/>
          <w:sz w:val="22"/>
          <w:szCs w:val="22"/>
          <w:lang w:val="en-US"/>
        </w:rPr>
        <w:t>Lim</w:t>
      </w:r>
      <w:r>
        <w:rPr>
          <w:b/>
          <w:i/>
          <w:sz w:val="22"/>
          <w:szCs w:val="22"/>
          <w:vertAlign w:val="subscript"/>
          <w:lang w:val="en-US"/>
        </w:rPr>
        <w:t>Ai</w:t>
      </w:r>
      <w:r>
        <w:rPr>
          <w:b/>
          <w:sz w:val="22"/>
          <w:szCs w:val="22"/>
          <w:vertAlign w:val="subscript"/>
        </w:rPr>
        <w:t xml:space="preserve"> </w:t>
      </w:r>
      <w:r>
        <w:rPr>
          <w:b/>
          <w:sz w:val="22"/>
          <w:szCs w:val="22"/>
        </w:rPr>
        <w:t xml:space="preserve"> = </w:t>
      </w:r>
      <w:r>
        <w:rPr>
          <w:b/>
          <w:i/>
          <w:sz w:val="22"/>
          <w:szCs w:val="22"/>
          <w:lang w:val="en-US"/>
        </w:rPr>
        <w:t>r</w:t>
      </w:r>
      <w:r>
        <w:rPr>
          <w:b/>
          <w:i/>
          <w:sz w:val="22"/>
          <w:szCs w:val="22"/>
          <w:vertAlign w:val="subscript"/>
          <w:lang w:val="en-US"/>
        </w:rPr>
        <w:t>i</w:t>
      </w:r>
      <w:r>
        <w:rPr>
          <w:b/>
          <w:i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×  </w:t>
      </w:r>
      <w:r>
        <w:rPr>
          <w:b/>
          <w:i/>
          <w:sz w:val="22"/>
          <w:szCs w:val="22"/>
        </w:rPr>
        <w:t>С</w:t>
      </w:r>
      <w:r>
        <w:rPr>
          <w:b/>
          <w:i/>
          <w:sz w:val="22"/>
          <w:szCs w:val="22"/>
          <w:lang w:val="en-US"/>
        </w:rPr>
        <w:t>K</w:t>
      </w:r>
      <w:r>
        <w:rPr>
          <w:b/>
          <w:i/>
          <w:sz w:val="22"/>
          <w:szCs w:val="22"/>
          <w:vertAlign w:val="subscript"/>
          <w:lang w:val="en-US"/>
        </w:rPr>
        <w:t>i</w:t>
      </w:r>
      <w:r>
        <w:rPr>
          <w:sz w:val="22"/>
          <w:szCs w:val="22"/>
        </w:rPr>
        <w:t xml:space="preserve">, </w:t>
      </w:r>
    </w:p>
    <w:p>
      <w:pPr>
        <w:pStyle w:val="Normal"/>
        <w:ind w:left="360" w:firstLine="349"/>
        <w:rPr>
          <w:b/>
          <w:i/>
          <w:i/>
          <w:color w:val="000000"/>
          <w:sz w:val="22"/>
          <w:szCs w:val="22"/>
        </w:rPr>
      </w:pPr>
      <w:r>
        <w:rPr>
          <w:sz w:val="22"/>
          <w:szCs w:val="22"/>
        </w:rPr>
        <w:t>где</w:t>
      </w:r>
    </w:p>
    <w:p>
      <w:pPr>
        <w:pStyle w:val="Normal"/>
        <w:widowControl w:val="false"/>
        <w:ind w:right="-108" w:hanging="0"/>
        <w:jc w:val="both"/>
        <w:rPr>
          <w:b/>
          <w:i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  <w:lang w:val="en-US"/>
        </w:rPr>
        <w:t>Lim</w:t>
      </w:r>
      <w:r>
        <w:rPr>
          <w:b/>
          <w:i/>
          <w:color w:val="000000"/>
          <w:sz w:val="22"/>
          <w:szCs w:val="22"/>
          <w:vertAlign w:val="subscript"/>
          <w:lang w:val="en-US"/>
        </w:rPr>
        <w:t>Ai</w:t>
      </w:r>
      <w:r>
        <w:rPr>
          <w:b/>
          <w:i/>
          <w:color w:val="000000"/>
          <w:sz w:val="22"/>
          <w:szCs w:val="22"/>
          <w:vertAlign w:val="subscript"/>
        </w:rPr>
        <w:t xml:space="preserve">   </w:t>
      </w:r>
      <w:r>
        <w:rPr>
          <w:color w:val="000000"/>
          <w:sz w:val="22"/>
          <w:szCs w:val="22"/>
        </w:rPr>
        <w:t xml:space="preserve">- </w:t>
      </w:r>
      <w:r>
        <w:rPr>
          <w:sz w:val="22"/>
          <w:szCs w:val="22"/>
        </w:rPr>
        <w:t>Лимит риска для i-ой кредитной организации</w:t>
      </w:r>
      <w:r>
        <w:rPr>
          <w:rStyle w:val="FootnoteReference"/>
          <w:sz w:val="22"/>
          <w:szCs w:val="22"/>
        </w:rPr>
        <w:footnoteReference w:customMarkFollows="1" w:id="7"/>
        <w:t>23</w:t>
      </w:r>
      <w:r>
        <w:rPr>
          <w:sz w:val="22"/>
          <w:szCs w:val="22"/>
        </w:rPr>
        <w:t>23.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851" w:leader="none"/>
        </w:tabs>
        <w:ind w:right="-108" w:hanging="0"/>
        <w:jc w:val="both"/>
        <w:rPr>
          <w:b/>
          <w:i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>С</w:t>
      </w:r>
      <w:r>
        <w:rPr>
          <w:b/>
          <w:i/>
          <w:color w:val="000000"/>
          <w:sz w:val="22"/>
          <w:szCs w:val="22"/>
          <w:lang w:val="en-US"/>
        </w:rPr>
        <w:t>K</w:t>
      </w:r>
      <w:r>
        <w:rPr>
          <w:b/>
          <w:i/>
          <w:color w:val="000000"/>
          <w:sz w:val="22"/>
          <w:szCs w:val="22"/>
          <w:vertAlign w:val="subscript"/>
          <w:lang w:val="en-US"/>
        </w:rPr>
        <w:t>i</w:t>
      </w:r>
      <w:r>
        <w:rPr>
          <w:b/>
          <w:i/>
          <w:color w:val="000000"/>
          <w:sz w:val="22"/>
          <w:szCs w:val="22"/>
          <w:vertAlign w:val="subscript"/>
        </w:rPr>
        <w:t xml:space="preserve">        </w:t>
      </w:r>
      <w:r>
        <w:rPr>
          <w:color w:val="000000"/>
          <w:sz w:val="22"/>
          <w:szCs w:val="22"/>
        </w:rPr>
        <w:t xml:space="preserve">- </w:t>
      </w:r>
      <w:r>
        <w:rPr>
          <w:sz w:val="22"/>
          <w:szCs w:val="22"/>
        </w:rPr>
        <w:t xml:space="preserve">размер собственных средств (капитала) i-ой кредитной организации </w:t>
        <w:br/>
        <w:t xml:space="preserve">на 1 января текущего календарного года по данным отчетности </w:t>
        <w:br/>
        <w:t>(в соответствии с кодом формы по ОКУД 0409123 «Расчет собственных средств (капитала) («Базель III») либо кодом формы по ОКУД 0409808 «Отчет об уровне достаточности капитала для покрытия рисков (публикуемая форма)»), опубликованной в информационно-телекоммуникационной сети «Интернет» (</w:t>
      </w:r>
      <w:hyperlink r:id="rId3">
        <w:r>
          <w:rPr>
            <w:rStyle w:val="Hyperlink"/>
            <w:sz w:val="22"/>
            <w:szCs w:val="22"/>
          </w:rPr>
          <w:t>www.cbr.ru</w:t>
        </w:r>
      </w:hyperlink>
      <w:r>
        <w:rPr>
          <w:sz w:val="22"/>
          <w:szCs w:val="22"/>
        </w:rPr>
        <w:t>) на официальных сайтах ЦБ РФ и / или кредитной организации либо представленной кредитной организацией Обществу;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851" w:leader="none"/>
        </w:tabs>
        <w:ind w:right="-108" w:hanging="0"/>
        <w:jc w:val="both"/>
        <w:rPr>
          <w:b/>
          <w:sz w:val="22"/>
          <w:szCs w:val="22"/>
        </w:rPr>
      </w:pPr>
      <w:r>
        <w:rPr>
          <w:b/>
          <w:i/>
          <w:color w:val="000000"/>
          <w:sz w:val="22"/>
          <w:szCs w:val="22"/>
          <w:lang w:val="en-US"/>
        </w:rPr>
        <w:t>r</w:t>
      </w:r>
      <w:r>
        <w:rPr>
          <w:b/>
          <w:i/>
          <w:color w:val="000000"/>
          <w:sz w:val="22"/>
          <w:szCs w:val="22"/>
          <w:vertAlign w:val="subscript"/>
        </w:rPr>
        <w:t xml:space="preserve">i             </w:t>
      </w:r>
      <w:r>
        <w:rPr>
          <w:color w:val="000000"/>
          <w:sz w:val="22"/>
          <w:szCs w:val="22"/>
        </w:rPr>
        <w:t xml:space="preserve">- </w:t>
      </w:r>
      <w:r>
        <w:rPr>
          <w:sz w:val="22"/>
          <w:szCs w:val="22"/>
        </w:rPr>
        <w:t>рейтинговый коэффициент</w:t>
      </w:r>
      <w:r>
        <w:rPr>
          <w:rStyle w:val="FootnoteReference"/>
          <w:sz w:val="22"/>
          <w:szCs w:val="22"/>
        </w:rPr>
        <w:footnoteReference w:customMarkFollows="1" w:id="8"/>
        <w:t>24</w:t>
      </w:r>
      <w:r>
        <w:rPr>
          <w:sz w:val="22"/>
          <w:szCs w:val="22"/>
        </w:rPr>
        <w:t>24для i-ой кредитной организации, равный: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851" w:leader="none"/>
        </w:tabs>
        <w:ind w:right="-108" w:firstLine="70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0,075</w:t>
      </w:r>
      <w:r>
        <w:rPr>
          <w:sz w:val="22"/>
          <w:szCs w:val="22"/>
        </w:rPr>
        <w:t xml:space="preserve"> - если i-ая кредитная организация имеет национальный рейтинг кредитоспособности не ниже уровня </w:t>
      </w:r>
      <w:r>
        <w:rPr>
          <w:b/>
          <w:sz w:val="22"/>
          <w:szCs w:val="22"/>
        </w:rPr>
        <w:t>«АА-»</w:t>
      </w:r>
      <w:r>
        <w:rPr>
          <w:sz w:val="22"/>
          <w:szCs w:val="22"/>
        </w:rPr>
        <w:t xml:space="preserve">по классификации рейтингового агентства АКРА или не ниже уровня </w:t>
      </w:r>
      <w:r>
        <w:rPr>
          <w:b/>
          <w:sz w:val="22"/>
          <w:szCs w:val="22"/>
        </w:rPr>
        <w:t>«</w:t>
      </w:r>
      <w:r>
        <w:rPr>
          <w:b/>
          <w:sz w:val="22"/>
          <w:szCs w:val="22"/>
          <w:lang w:val="en-US"/>
        </w:rPr>
        <w:t>ru</w:t>
      </w:r>
      <w:r>
        <w:rPr>
          <w:b/>
          <w:sz w:val="22"/>
          <w:szCs w:val="22"/>
        </w:rPr>
        <w:t>А</w:t>
      </w:r>
      <w:r>
        <w:rPr>
          <w:b/>
          <w:sz w:val="22"/>
          <w:szCs w:val="22"/>
          <w:lang w:val="en-US"/>
        </w:rPr>
        <w:t>A</w:t>
      </w:r>
      <w:r>
        <w:rPr>
          <w:b/>
          <w:sz w:val="22"/>
          <w:szCs w:val="22"/>
        </w:rPr>
        <w:t>-»</w:t>
      </w:r>
      <w:r>
        <w:rPr>
          <w:sz w:val="22"/>
          <w:szCs w:val="22"/>
        </w:rPr>
        <w:t xml:space="preserve"> по классификации рейтингового агентства Эксперт РА;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851" w:leader="none"/>
        </w:tabs>
        <w:ind w:right="-108" w:firstLine="70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0,05</w:t>
      </w:r>
      <w:r>
        <w:rPr>
          <w:sz w:val="22"/>
          <w:szCs w:val="22"/>
        </w:rPr>
        <w:t xml:space="preserve"> - если i-ая кредитная организация имеет национальный рейтинг кредитоспособности не ниже уровня </w:t>
      </w:r>
      <w:r>
        <w:rPr>
          <w:b/>
          <w:sz w:val="22"/>
          <w:szCs w:val="22"/>
        </w:rPr>
        <w:t>«А-»</w:t>
      </w:r>
      <w:r>
        <w:rPr>
          <w:sz w:val="22"/>
          <w:szCs w:val="22"/>
        </w:rPr>
        <w:t xml:space="preserve"> по классификации рейтингового агентства АКРА или не ниже уровня </w:t>
      </w:r>
      <w:r>
        <w:rPr>
          <w:b/>
          <w:sz w:val="22"/>
          <w:szCs w:val="22"/>
        </w:rPr>
        <w:t>«ruA-»</w:t>
      </w:r>
      <w:r>
        <w:rPr>
          <w:sz w:val="22"/>
          <w:szCs w:val="22"/>
        </w:rPr>
        <w:t xml:space="preserve"> по классификации рейтингового агентства Эксперт РА;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851" w:leader="none"/>
          <w:tab w:val="left" w:pos="993" w:leader="none"/>
          <w:tab w:val="left" w:pos="1276" w:leader="none"/>
        </w:tabs>
        <w:ind w:right="-108" w:firstLine="709"/>
        <w:jc w:val="both"/>
        <w:rPr>
          <w:sz w:val="22"/>
          <w:szCs w:val="22"/>
        </w:rPr>
      </w:pPr>
      <w:r>
        <w:rPr>
          <w:b/>
          <w:sz w:val="22"/>
          <w:szCs w:val="22"/>
        </w:rPr>
        <w:t>0,025</w:t>
      </w:r>
      <w:r>
        <w:rPr>
          <w:sz w:val="22"/>
          <w:szCs w:val="22"/>
        </w:rPr>
        <w:t xml:space="preserve"> - если i-ая кредитная организация имеет национальный рейтинг кредитоспособности не ниже уровня </w:t>
      </w:r>
      <w:r>
        <w:rPr>
          <w:b/>
          <w:sz w:val="22"/>
          <w:szCs w:val="22"/>
        </w:rPr>
        <w:t>«</w:t>
      </w:r>
      <w:r>
        <w:rPr>
          <w:b/>
          <w:sz w:val="22"/>
          <w:szCs w:val="22"/>
          <w:lang w:val="en-US"/>
        </w:rPr>
        <w:t>BB</w:t>
      </w:r>
      <w:r>
        <w:rPr>
          <w:b/>
          <w:sz w:val="22"/>
          <w:szCs w:val="22"/>
        </w:rPr>
        <w:t>В»</w:t>
      </w:r>
      <w:r>
        <w:rPr>
          <w:sz w:val="22"/>
          <w:szCs w:val="22"/>
        </w:rPr>
        <w:t xml:space="preserve"> по классификации рейтингового агентства АКРА или не ниже уровня «</w:t>
      </w:r>
      <w:r>
        <w:rPr>
          <w:sz w:val="22"/>
          <w:szCs w:val="22"/>
          <w:lang w:val="en-US"/>
        </w:rPr>
        <w:t>ruBB</w:t>
      </w:r>
      <w:r>
        <w:rPr>
          <w:sz w:val="22"/>
          <w:szCs w:val="22"/>
        </w:rPr>
        <w:t>В» по классификации рейтингового агентства Эксперт РА, а также находится в процессе финансового оздоровления (санации).</w:t>
      </w:r>
      <w:r>
        <w:br w:type="page"/>
      </w:r>
    </w:p>
    <w:p>
      <w:pPr>
        <w:pStyle w:val="Normal"/>
        <w:tabs>
          <w:tab w:val="clear" w:pos="708"/>
          <w:tab w:val="left" w:pos="1134" w:leader="none"/>
          <w:tab w:val="left" w:pos="1418" w:leader="none"/>
        </w:tabs>
        <w:spacing w:before="0" w:after="0"/>
        <w:contextualSpacing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2 к Изменениям</w:t>
      </w:r>
    </w:p>
    <w:p>
      <w:pPr>
        <w:pStyle w:val="Normal"/>
        <w:tabs>
          <w:tab w:val="clear" w:pos="708"/>
          <w:tab w:val="left" w:pos="709" w:leader="none"/>
          <w:tab w:val="left" w:pos="1418" w:leader="none"/>
        </w:tabs>
        <w:spacing w:lineRule="auto" w:line="264" w:before="0" w:after="0"/>
        <w:ind w:firstLine="709"/>
        <w:contextualSpacing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tabs>
          <w:tab w:val="clear" w:pos="708"/>
          <w:tab w:val="left" w:pos="709" w:leader="none"/>
          <w:tab w:val="left" w:pos="1418" w:leader="none"/>
        </w:tabs>
        <w:spacing w:lineRule="auto" w:line="264" w:before="0" w:after="0"/>
        <w:ind w:firstLine="709"/>
        <w:contextualSpacing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3 к Методике ТФУ</w:t>
      </w:r>
    </w:p>
    <w:p>
      <w:pPr>
        <w:pStyle w:val="Normal"/>
        <w:tabs>
          <w:tab w:val="clear" w:pos="708"/>
          <w:tab w:val="left" w:pos="709" w:leader="none"/>
          <w:tab w:val="left" w:pos="1418" w:leader="none"/>
        </w:tabs>
        <w:spacing w:lineRule="auto" w:line="264" w:before="0" w:after="0"/>
        <w:ind w:firstLine="709"/>
        <w:contextualSpacing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tabs>
          <w:tab w:val="clear" w:pos="708"/>
          <w:tab w:val="left" w:pos="709" w:leader="none"/>
          <w:tab w:val="left" w:pos="1418" w:leader="none"/>
          <w:tab w:val="center" w:pos="5032" w:leader="none"/>
          <w:tab w:val="left" w:pos="7605" w:leader="none"/>
        </w:tabs>
        <w:spacing w:lineRule="auto" w:line="264" w:before="0" w:after="0"/>
        <w:ind w:firstLine="709"/>
        <w:contextualSpacing/>
        <w:rPr>
          <w:sz w:val="22"/>
          <w:szCs w:val="22"/>
        </w:rPr>
      </w:pPr>
      <w:r>
        <w:rPr>
          <w:bCs/>
          <w:kern w:val="2"/>
          <w:sz w:val="22"/>
          <w:szCs w:val="22"/>
        </w:rPr>
        <w:tab/>
        <w:tab/>
        <w:t>Условия банковской гарантии</w:t>
      </w:r>
      <w:r>
        <w:rPr>
          <w:rStyle w:val="FootnoteReference"/>
          <w:bCs/>
          <w:kern w:val="2"/>
          <w:sz w:val="22"/>
          <w:szCs w:val="22"/>
        </w:rPr>
        <w:footnoteReference w:customMarkFollows="1" w:id="9"/>
        <w:t>25</w:t>
      </w:r>
      <w:r>
        <w:rPr>
          <w:bCs/>
          <w:kern w:val="2"/>
          <w:sz w:val="22"/>
          <w:szCs w:val="22"/>
        </w:rPr>
        <w:t>25</w:t>
      </w:r>
      <w:r>
        <w:rPr>
          <w:rStyle w:val="11"/>
          <w:bCs/>
          <w:kern w:val="2"/>
          <w:sz w:val="22"/>
          <w:szCs w:val="22"/>
        </w:rPr>
        <w:tab/>
      </w:r>
    </w:p>
    <w:p>
      <w:pPr>
        <w:pStyle w:val="Normal"/>
        <w:tabs>
          <w:tab w:val="clear" w:pos="708"/>
          <w:tab w:val="left" w:pos="709" w:leader="none"/>
          <w:tab w:val="left" w:pos="1418" w:leader="none"/>
          <w:tab w:val="center" w:pos="5032" w:leader="none"/>
          <w:tab w:val="left" w:pos="7605" w:leader="none"/>
        </w:tabs>
        <w:spacing w:lineRule="auto" w:line="264" w:before="0" w:after="0"/>
        <w:ind w:firstLine="709"/>
        <w:contextualSpacing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numPr>
          <w:ilvl w:val="0"/>
          <w:numId w:val="3"/>
        </w:numPr>
        <w:ind w:left="0" w:firstLine="709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Условия банковской гарантии возврата предварительной оплаты (аванса) / надлежащего исполнения обязательств по Договору</w:t>
      </w:r>
    </w:p>
    <w:p>
      <w:pPr>
        <w:pStyle w:val="Normal"/>
        <w:tabs>
          <w:tab w:val="clear" w:pos="708"/>
          <w:tab w:val="left" w:pos="540" w:leader="none"/>
        </w:tabs>
        <w:ind w:firstLine="709"/>
        <w:jc w:val="both"/>
        <w:rPr>
          <w:color w:val="000000"/>
          <w:sz w:val="22"/>
          <w:szCs w:val="22"/>
        </w:rPr>
      </w:pPr>
      <w:r>
        <w:rPr>
          <w:bCs/>
          <w:sz w:val="22"/>
          <w:szCs w:val="22"/>
        </w:rPr>
        <w:t>Под банковской гарантией понимается гарантия согласованного Обществом Банка</w:t>
      </w:r>
      <w:r>
        <w:rPr>
          <w:sz w:val="22"/>
          <w:szCs w:val="22"/>
        </w:rPr>
        <w:t xml:space="preserve">, </w:t>
      </w:r>
      <w:r>
        <w:rPr>
          <w:bCs/>
          <w:sz w:val="22"/>
          <w:szCs w:val="22"/>
        </w:rPr>
        <w:t xml:space="preserve">которая будет регулироваться унифицированными правилами Международной торговой палаты – публикация МТП № 758 </w:t>
        <w:br/>
        <w:t>(ICC Uniform Rules for Demand Guarantees – ICC Publication № 758) в той мере, в какой указанные правила не противоречат императивным нормам законодательства Российской Федерации и следующим основным условиям</w:t>
      </w:r>
      <w:r>
        <w:rPr>
          <w:color w:val="000000"/>
          <w:sz w:val="22"/>
          <w:szCs w:val="22"/>
        </w:rPr>
        <w:t>: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ind w:left="0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банковская гарантия должна быть безотзывной и безусловной (гарантия по первому требованию);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ind w:left="0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бенефициар по банковской гарантии – Общество, принципал – Контрагент;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ind w:left="0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сумма банковской гарантии выражена в валюте расчетов по Договору;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ind w:left="0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сумма банковской гарантии возврата авансового платежа – не менее 100 (ста) процентов от суммы уплачиваемого по Договору аванса </w:t>
        <w:br/>
        <w:t>(в совокупной сумме с учетом ранее выплаченных и неотработанных авансовых платежей);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ind w:left="0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сумма банковской гарантии надлежащего исполнения обязательств по Договору должна составлять не менее: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1134" w:leader="none"/>
        </w:tabs>
        <w:ind w:left="720" w:hanging="11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10 (десяти) процентов от цены Договора / объекта;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709" w:leader="none"/>
          <w:tab w:val="left" w:pos="1134" w:leader="none"/>
        </w:tabs>
        <w:spacing w:before="0" w:after="0"/>
        <w:ind w:left="720" w:hanging="11"/>
        <w:contextualSpacing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5 (пяти) процентов от цены Договора / объекта (если Договором не предусмотрена выплата аванса) или в размере аванса (если Договором предусмотрена выплата аванса)</w:t>
      </w:r>
      <w:r>
        <w:rPr>
          <w:rStyle w:val="Style5"/>
          <w:color w:val="000000"/>
          <w:sz w:val="22"/>
          <w:szCs w:val="22"/>
        </w:rPr>
        <w:t xml:space="preserve"> </w:t>
      </w:r>
      <w:r>
        <w:rPr>
          <w:rStyle w:val="FootnoteReference"/>
          <w:color w:val="000000"/>
          <w:sz w:val="22"/>
          <w:szCs w:val="22"/>
        </w:rPr>
        <w:footnoteReference w:customMarkFollows="1" w:id="10"/>
        <w:t>25.1</w:t>
      </w:r>
      <w:r>
        <w:rPr>
          <w:color w:val="000000"/>
          <w:sz w:val="22"/>
          <w:szCs w:val="22"/>
        </w:rPr>
        <w:t>25.1;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ind w:left="0" w:firstLine="709"/>
        <w:jc w:val="both"/>
        <w:rPr>
          <w:bCs/>
          <w:sz w:val="22"/>
          <w:szCs w:val="22"/>
        </w:rPr>
      </w:pPr>
      <w:r>
        <w:rPr>
          <w:color w:val="000000"/>
          <w:sz w:val="22"/>
          <w:szCs w:val="22"/>
        </w:rPr>
        <w:t>срок окончания банковской гарантии – не ранее 70 (семидесяти) календарных дней после наступления даты, в которую заканчивается срок исполнения обязательств по этапу Договора</w:t>
      </w:r>
      <w:r>
        <w:rPr>
          <w:rStyle w:val="FootnoteReference"/>
          <w:color w:val="000000"/>
          <w:sz w:val="22"/>
          <w:szCs w:val="22"/>
        </w:rPr>
        <w:footnoteReference w:customMarkFollows="1" w:id="11"/>
        <w:t>26</w:t>
      </w:r>
      <w:r>
        <w:rPr>
          <w:color w:val="000000"/>
          <w:sz w:val="22"/>
          <w:szCs w:val="22"/>
        </w:rPr>
        <w:t>26</w:t>
      </w:r>
      <w:r>
        <w:rPr>
          <w:rStyle w:val="11"/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/ Договору в целом / соответствующему объекту, предусмотренной Договором, или не ранее </w:t>
        <w:br/>
        <w:t xml:space="preserve">70 (семидесяти) календарных дней с даты окончания гарантийного срока </w:t>
        <w:br/>
        <w:t>на объект</w:t>
      </w:r>
      <w:r>
        <w:rPr>
          <w:rStyle w:val="FootnoteReference"/>
          <w:color w:val="000000"/>
          <w:sz w:val="22"/>
          <w:szCs w:val="22"/>
        </w:rPr>
        <w:footnoteReference w:customMarkFollows="1" w:id="12"/>
        <w:t>27</w:t>
      </w:r>
      <w:r>
        <w:rPr>
          <w:color w:val="000000"/>
          <w:sz w:val="22"/>
          <w:szCs w:val="22"/>
        </w:rPr>
        <w:t>27/ оборудование</w:t>
      </w:r>
      <w:r>
        <w:rPr>
          <w:rStyle w:val="FootnoteReference"/>
          <w:color w:val="000000"/>
          <w:sz w:val="22"/>
          <w:szCs w:val="22"/>
        </w:rPr>
        <w:footnoteReference w:customMarkFollows="1" w:id="13"/>
        <w:t>27.1</w:t>
      </w:r>
      <w:r>
        <w:rPr>
          <w:color w:val="000000"/>
          <w:sz w:val="22"/>
          <w:szCs w:val="22"/>
        </w:rPr>
        <w:t>27.1.</w:t>
      </w:r>
    </w:p>
    <w:p>
      <w:pPr>
        <w:pStyle w:val="Normal"/>
        <w:ind w:firstLine="709"/>
        <w:jc w:val="both"/>
        <w:rPr>
          <w:color w:val="000000"/>
          <w:sz w:val="22"/>
          <w:szCs w:val="22"/>
        </w:rPr>
      </w:pPr>
      <w:r>
        <w:rPr>
          <w:bCs/>
          <w:sz w:val="22"/>
          <w:szCs w:val="22"/>
        </w:rPr>
        <w:t xml:space="preserve">Банковская гарантия должна предусматривать, что для истребования суммы обеспечения Общество направляет Банку-Гаранту только требование о предъявлении суммы обеспечения к оплате как полностью, </w:t>
        <w:br/>
        <w:t>так и частично с указанием на существо допущенных Контрагентом нарушений, в том числе в случаях</w:t>
      </w:r>
      <w:r>
        <w:rPr>
          <w:sz w:val="22"/>
          <w:szCs w:val="22"/>
        </w:rPr>
        <w:t>: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1134" w:leader="none"/>
        </w:tabs>
        <w:ind w:left="0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отказа Контрагента от исполнения обязательств по Договору, </w:t>
        <w:br/>
        <w:t>в том числе одностороннего отказа от Договора;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1134" w:leader="none"/>
        </w:tabs>
        <w:ind w:left="0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отказа Контрагента от возврата неотработанного аванса </w:t>
        <w:br/>
        <w:t xml:space="preserve">при досрочном прекращении Договора / признании Договора недействительным; 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1134" w:leader="none"/>
        </w:tabs>
        <w:ind w:left="0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нарушения Контрагентом сроков поставки (выполнения работ, оказания услуг), установленных Календарным графиком, более чем </w:t>
        <w:br/>
        <w:t>на 15 (пятнадцать) календарных дней;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1134" w:leader="none"/>
        </w:tabs>
        <w:ind w:left="0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утраты Контрагентом специальных разрешений (в том числе отзыв, прекращение (приостановление) действия допусков, разрешений) и / или лицензий, предоставляющих Контрагенту возможность надлежащего исполнения обязательств по Договору;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1134" w:leader="none"/>
        </w:tabs>
        <w:ind w:left="0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прекращения членства в СРО, основанной на членстве лиц, осуществляющих / выполняющих инженерные изыскания / подготовку проектной документации или осуществляющих строительство; 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1134" w:leader="none"/>
        </w:tabs>
        <w:ind w:left="0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введения арбитражным судом процедуры несостоятельности (банкротства) в отношении Контрагента;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1134" w:leader="none"/>
        </w:tabs>
        <w:ind w:left="0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установления в ходе исполнения Договора фактов несоответствия Контрагента установленным документацией о закупке требованиям </w:t>
        <w:br/>
        <w:t xml:space="preserve">к участникам закупки и / или представления недостоверной информации </w:t>
        <w:br/>
        <w:t>о своем соответствии таким требованиям, а также недостоверности, неточности или неполноты заверений Контрагента об обстоятельствах, указанных в Договоре и имеющих существенное значение для его заключения и исполнения;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1134" w:leader="none"/>
        </w:tabs>
        <w:ind w:left="0" w:firstLine="709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признания Договора недействительным по причинам отсутствия необходимых</w:t>
      </w:r>
      <w:r>
        <w:rPr>
          <w:sz w:val="22"/>
          <w:szCs w:val="22"/>
        </w:rPr>
        <w:t xml:space="preserve"> корпоративных одобрений у Контрагента;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1134" w:leader="none"/>
        </w:tabs>
        <w:ind w:left="0" w:firstLine="709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не предоставления Контрагентом в срок не позднее чем </w:t>
        <w:br/>
        <w:t xml:space="preserve">за 30 (тридцать) календарных дней до даты истечения срока действия банковской гарантии, новой банковской гарантии или изменения </w:t>
        <w:br/>
        <w:t xml:space="preserve">к действующей гарантии в части увеличения срока ее действия на новый период в случаях, если срок исполнения обязательств Контрагента </w:t>
        <w:br/>
        <w:t>по Договору превышает срок действия банковской гарантии либо срок исполнения обязательств продлен.</w:t>
      </w:r>
    </w:p>
    <w:p>
      <w:pPr>
        <w:pStyle w:val="Normal"/>
        <w:ind w:firstLine="709"/>
        <w:jc w:val="both"/>
        <w:rPr>
          <w:bCs/>
          <w:sz w:val="22"/>
          <w:szCs w:val="22"/>
        </w:rPr>
      </w:pPr>
      <w:r>
        <w:rPr>
          <w:color w:val="000000"/>
          <w:sz w:val="22"/>
          <w:szCs w:val="22"/>
        </w:rPr>
        <w:t>Вместе с требованием о предъявлении суммы обеспечения к оплате Общество направляет Банку-гаранту копию банковской гарантии.</w:t>
      </w:r>
    </w:p>
    <w:p>
      <w:pPr>
        <w:pStyle w:val="Normal"/>
        <w:tabs>
          <w:tab w:val="clear" w:pos="708"/>
          <w:tab w:val="left" w:pos="1134" w:leader="none"/>
        </w:tabs>
        <w:ind w:firstLine="709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Банковской гарантией возврата авансового платежа может быть предусмотрено условие о представлении вместе с требованием </w:t>
        <w:br/>
        <w:t>о предъявлении суммы обеспечения к оплате платежного поручения Общества, подтверждающего факт осуществления Обществом авансового платежа, с отметкой банка об исполнении.</w:t>
      </w:r>
    </w:p>
    <w:p>
      <w:pPr>
        <w:pStyle w:val="Normal"/>
        <w:ind w:firstLine="709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Банковской гарантией возврата предварительной оплаты (аванса) / надлежащего исполнения обязательств по Договору должно быть предусмотрено условие о праве Бенефициара направлять требование об уплате денежной суммы по банковской гарантии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бенефициара. </w:t>
      </w:r>
    </w:p>
    <w:p>
      <w:pPr>
        <w:pStyle w:val="Normal"/>
        <w:ind w:firstLine="709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Выбор формы направления такого требования осуществляется Бенефициаром самостоятельно. </w:t>
      </w:r>
    </w:p>
    <w:p>
      <w:pPr>
        <w:pStyle w:val="Normal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Платеж по банковской гарантии осуществляется Банком-гарантом в течение 10 (десяти) рабочих дней после обращения бенефициара (Общества).                  </w:t>
        <w:tab/>
        <w:t xml:space="preserve">Сумма банковской гарантии возврата авансового платежа </w:t>
        <w:br/>
        <w:t xml:space="preserve">по согласованию с Обществом может быть уменьшена пропорционально сумме выполненных Контрагентом обязательств по Договору </w:t>
      </w:r>
      <w:r>
        <w:rPr>
          <w:color w:val="000000"/>
          <w:sz w:val="22"/>
          <w:szCs w:val="22"/>
        </w:rPr>
        <w:t xml:space="preserve">/ </w:t>
      </w:r>
      <w:r>
        <w:rPr>
          <w:sz w:val="22"/>
          <w:szCs w:val="22"/>
        </w:rPr>
        <w:t>соответствующему объекту при условии подтверждения их выполнения</w:t>
      </w:r>
      <w:r>
        <w:rPr>
          <w:rStyle w:val="FootnoteReference"/>
          <w:sz w:val="22"/>
          <w:szCs w:val="22"/>
        </w:rPr>
        <w:footnoteReference w:customMarkFollows="1" w:id="14"/>
        <w:t>28</w:t>
      </w:r>
      <w:r>
        <w:rPr>
          <w:sz w:val="22"/>
          <w:szCs w:val="22"/>
        </w:rPr>
        <w:t>28.</w:t>
      </w:r>
    </w:p>
    <w:p>
      <w:pPr>
        <w:pStyle w:val="Normal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Внесение изменений и дополнений в Договор в период срока действия банковской гарантии не освобождает Банк-гарант от обязательств перед бенефициаром по банковской гарантии.</w:t>
      </w:r>
    </w:p>
    <w:p>
      <w:pPr>
        <w:pStyle w:val="Normal"/>
        <w:ind w:firstLine="709"/>
        <w:jc w:val="both"/>
        <w:rPr>
          <w:bCs/>
          <w:sz w:val="22"/>
          <w:szCs w:val="22"/>
        </w:rPr>
      </w:pPr>
      <w:r>
        <w:rPr>
          <w:sz w:val="22"/>
          <w:szCs w:val="22"/>
        </w:rPr>
        <w:t>Принадлежащее Бенефициару по Гарантии право требования к Гаранту может быть передано новому бенефициару – компании, входящей в Группу РусГидро, с последующим письменным уведомлением Бенефициаром Гаранта о смене Бенефициара по Гарантии.</w:t>
      </w:r>
    </w:p>
    <w:p>
      <w:pPr>
        <w:pStyle w:val="Normal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          </w:t>
      </w:r>
      <w:r>
        <w:rPr>
          <w:bCs/>
          <w:sz w:val="22"/>
          <w:szCs w:val="22"/>
        </w:rPr>
        <w:t>Банковская гарантия должна быть подчинена материальному праву Российской Федерации и предусматривать Арбитражный суд г. Москвы</w:t>
      </w:r>
      <w:r>
        <w:rPr>
          <w:rStyle w:val="FootnoteReference"/>
          <w:bCs/>
          <w:sz w:val="22"/>
          <w:szCs w:val="22"/>
        </w:rPr>
        <w:footnoteReference w:customMarkFollows="1" w:id="15"/>
        <w:t>29</w:t>
      </w:r>
      <w:r>
        <w:rPr>
          <w:bCs/>
          <w:sz w:val="22"/>
          <w:szCs w:val="22"/>
        </w:rPr>
        <w:t>29в качестве органа, компетентного разрешать споры из банковской гарантии.</w:t>
      </w:r>
    </w:p>
    <w:p>
      <w:pPr>
        <w:pStyle w:val="Normal"/>
        <w:ind w:firstLine="709"/>
        <w:jc w:val="both"/>
        <w:rPr>
          <w:bCs/>
          <w:sz w:val="22"/>
          <w:szCs w:val="22"/>
        </w:rPr>
      </w:pPr>
      <w:r>
        <w:rPr>
          <w:sz w:val="22"/>
          <w:szCs w:val="22"/>
        </w:rPr>
        <w:t>Банковская гарантия не должна содержать условий или требований, противоречащих изложенному или делающих изложенное неисполнимым.</w:t>
      </w:r>
    </w:p>
    <w:p>
      <w:pPr>
        <w:pStyle w:val="Normal"/>
        <w:numPr>
          <w:ilvl w:val="0"/>
          <w:numId w:val="3"/>
        </w:numPr>
        <w:ind w:left="0" w:firstLine="709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Условия банковской гарантии надлежащего исполнения гарантийных обязательств.</w:t>
      </w:r>
    </w:p>
    <w:p>
      <w:pPr>
        <w:pStyle w:val="Normal"/>
        <w:tabs>
          <w:tab w:val="clear" w:pos="708"/>
          <w:tab w:val="left" w:pos="540" w:leader="none"/>
        </w:tabs>
        <w:ind w:firstLine="709"/>
        <w:jc w:val="both"/>
        <w:rPr>
          <w:color w:val="000000"/>
          <w:sz w:val="22"/>
          <w:szCs w:val="22"/>
        </w:rPr>
      </w:pPr>
      <w:r>
        <w:rPr>
          <w:bCs/>
          <w:sz w:val="22"/>
          <w:szCs w:val="22"/>
        </w:rPr>
        <w:t xml:space="preserve">Под банковской гарантией понимается гарантия согласованного Обществом Банка, которая будет регулироваться унифицированными правилами Международной торговой палаты – публикация МТП № 758 </w:t>
        <w:br/>
        <w:t>(ICC Uniform Rules for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Demand Guarantees – ICC Publication № 758) в той мере, в какой указанные правила не противоречат императивным нормам законодательства Российской Федерации и следующим основным условиям</w:t>
      </w:r>
      <w:r>
        <w:rPr>
          <w:color w:val="000000"/>
          <w:sz w:val="22"/>
          <w:szCs w:val="22"/>
        </w:rPr>
        <w:t>: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1134" w:leader="none"/>
        </w:tabs>
        <w:ind w:left="0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банковская гарантия должна быть безотзывной и безусловной (гарантия по первому требованию);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1134" w:leader="none"/>
        </w:tabs>
        <w:ind w:left="0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бенефициар по банковской гарантии – Общество, принципал – Контрагент;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1134" w:leader="none"/>
        </w:tabs>
        <w:ind w:left="0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сумма банковской гарантии выражена в валюте расчетов </w:t>
        <w:br/>
        <w:t>по Договору;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1134" w:leader="none"/>
        </w:tabs>
        <w:ind w:left="0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сумма банковской гарантии на гарантийный период – не менее </w:t>
        <w:br/>
        <w:t>5 (пяти) процентов от цены Договора / объекта;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1134" w:leader="none"/>
        </w:tabs>
        <w:ind w:left="0" w:firstLine="709"/>
        <w:jc w:val="both"/>
        <w:rPr>
          <w:bCs/>
          <w:sz w:val="22"/>
          <w:szCs w:val="22"/>
        </w:rPr>
      </w:pPr>
      <w:r>
        <w:rPr>
          <w:color w:val="000000"/>
          <w:sz w:val="22"/>
          <w:szCs w:val="22"/>
        </w:rPr>
        <w:t>срок окончания банковской гарантии – не ранее 70 (семидесяти) календарных дней с даты окончания установленного Договором гарантийного срока на соответствующий объект.</w:t>
      </w:r>
    </w:p>
    <w:p>
      <w:pPr>
        <w:pStyle w:val="13"/>
        <w:spacing w:lineRule="auto" w:line="240" w:before="0" w:after="0"/>
        <w:ind w:left="0" w:firstLine="720"/>
        <w:contextualSpacing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bCs/>
          <w:lang w:eastAsia="ru-RU"/>
        </w:rPr>
        <w:t xml:space="preserve">Банковская гарантия должна предусматривать, что для истребования суммы обеспечения Общество направляет Банку-гаранту только требование </w:t>
        <w:br/>
        <w:t xml:space="preserve">о предъявлении суммы обеспечения к оплате, как полностью, так и частично, с указанием на существо допущенных Контрагентом нарушений. </w:t>
      </w:r>
    </w:p>
    <w:p>
      <w:pPr>
        <w:pStyle w:val="13"/>
        <w:spacing w:lineRule="auto" w:line="240" w:before="0" w:after="0"/>
        <w:ind w:left="0" w:firstLine="720"/>
        <w:contextualSpacing/>
        <w:jc w:val="both"/>
        <w:rPr>
          <w:rFonts w:ascii="Times New Roman" w:hAnsi="Times New Roman"/>
          <w:bCs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Вместе с требованием о предъявлении суммы обеспечения к оплате Общество направляет Банку-гаранту копию банковской гарантии.</w:t>
      </w:r>
    </w:p>
    <w:p>
      <w:pPr>
        <w:pStyle w:val="13"/>
        <w:spacing w:lineRule="auto" w:line="240" w:before="0" w:after="0"/>
        <w:ind w:left="0" w:firstLine="720"/>
        <w:contextualSpacing/>
        <w:jc w:val="both"/>
        <w:rPr>
          <w:rFonts w:ascii="Times New Roman" w:hAnsi="Times New Roman"/>
          <w:bCs/>
          <w:lang w:eastAsia="ru-RU"/>
        </w:rPr>
      </w:pPr>
      <w:r>
        <w:rPr>
          <w:rFonts w:ascii="Times New Roman" w:hAnsi="Times New Roman"/>
          <w:bCs/>
          <w:lang w:eastAsia="ru-RU"/>
        </w:rPr>
        <w:t xml:space="preserve">Банковской гарантией должно быть предусмотрено условие о праве Бенефициара направлять требование об уплате денежной суммы по банковской гарантии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бенефициара. </w:t>
      </w:r>
    </w:p>
    <w:p>
      <w:pPr>
        <w:pStyle w:val="Normal"/>
        <w:ind w:firstLine="709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Выбор формы направления такого требования осуществляется Бенефициаром самостоятельно. </w:t>
      </w:r>
    </w:p>
    <w:p>
      <w:pPr>
        <w:pStyle w:val="Normal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Платеж по банковской гарантии осуществляется Банком-гарантом в течение 10 (десяти) рабочих дней после обращения бенефициара (Общества). Внесение изменений и дополнений в Договор в период срока действия банковской гарантии не освобождает Банк-гарант от обязательств перед бенефициаром по банковской гарантии.</w:t>
      </w:r>
    </w:p>
    <w:p>
      <w:pPr>
        <w:pStyle w:val="Normal"/>
        <w:ind w:firstLine="709"/>
        <w:jc w:val="both"/>
        <w:rPr>
          <w:bCs/>
          <w:sz w:val="22"/>
          <w:szCs w:val="22"/>
        </w:rPr>
      </w:pPr>
      <w:r>
        <w:rPr>
          <w:sz w:val="22"/>
          <w:szCs w:val="22"/>
        </w:rPr>
        <w:t>Принадлежащее Бенефициару по Гарантии право требования к Гаранту может быть передано новому бенефициару – компании, входящей в Группу РусГидро, с последующим письменным уведомлением Бенефициаром Гаранта о смене Бенефициара по Гарантии.</w:t>
      </w:r>
    </w:p>
    <w:p>
      <w:pPr>
        <w:pStyle w:val="Normal"/>
        <w:ind w:firstLine="709"/>
        <w:jc w:val="both"/>
        <w:rPr>
          <w:sz w:val="22"/>
          <w:szCs w:val="22"/>
        </w:rPr>
      </w:pPr>
      <w:r>
        <w:rPr>
          <w:bCs/>
          <w:sz w:val="22"/>
          <w:szCs w:val="22"/>
        </w:rPr>
        <w:t>Банковская гарантия должна быть подчинена материальному праву Российской Федерации и предусматривать Арбитражный суд г. Москвы</w:t>
      </w:r>
      <w:r>
        <w:rPr>
          <w:bCs/>
          <w:sz w:val="22"/>
          <w:szCs w:val="22"/>
          <w:vertAlign w:val="superscript"/>
        </w:rPr>
        <w:t xml:space="preserve">32 </w:t>
        <w:br/>
      </w:r>
      <w:r>
        <w:rPr>
          <w:bCs/>
          <w:sz w:val="22"/>
          <w:szCs w:val="22"/>
        </w:rPr>
        <w:t>в качестве органа, компетентного разрешать споры из банковской гарантии.</w:t>
      </w:r>
    </w:p>
    <w:p>
      <w:pPr>
        <w:pStyle w:val="Normal"/>
        <w:ind w:firstLine="709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Банковская гарантия не должна содержать условий или требований, противоречащих изложенному или делающих изложенное неисполнимым.</w:t>
      </w:r>
    </w:p>
    <w:p>
      <w:pPr>
        <w:pStyle w:val="13"/>
        <w:numPr>
          <w:ilvl w:val="0"/>
          <w:numId w:val="3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Гарантии в соответствии с пунктами 1 и 2 настоящих Условий предоставляются: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1134" w:leader="none"/>
        </w:tabs>
        <w:ind w:left="0" w:firstLine="709"/>
        <w:jc w:val="both"/>
        <w:rPr>
          <w:color w:val="000000"/>
          <w:sz w:val="22"/>
          <w:szCs w:val="22"/>
        </w:rPr>
      </w:pPr>
      <w:r>
        <w:rPr>
          <w:color w:val="2C2D2E"/>
          <w:sz w:val="22"/>
          <w:szCs w:val="22"/>
          <w:shd w:fill="FFFFFF" w:val="clear"/>
        </w:rPr>
        <w:t xml:space="preserve">в электронной форме с использованием программно-аппаратных средств информационной системы электронного документооборота общего пользования путем его подписания усиленной квалифицированной электронной подписью уполномоченного представителя Банка-гаранта </w:t>
      </w:r>
      <w:r>
        <w:rPr>
          <w:color w:val="000000"/>
          <w:sz w:val="22"/>
          <w:szCs w:val="22"/>
        </w:rPr>
        <w:t>/ иным способом предусмотренным законодательством Российской Федерации;</w:t>
      </w:r>
    </w:p>
    <w:p>
      <w:pPr>
        <w:pStyle w:val="Normal"/>
        <w:tabs>
          <w:tab w:val="clear" w:pos="708"/>
          <w:tab w:val="left" w:pos="1134" w:leader="none"/>
        </w:tabs>
        <w:ind w:left="709" w:hang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либо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1134" w:leader="none"/>
        </w:tabs>
        <w:ind w:left="0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 оригинале на бумажном носителе.</w:t>
      </w:r>
    </w:p>
    <w:p>
      <w:pPr>
        <w:pStyle w:val="Normal"/>
        <w:spacing w:before="0" w:after="0"/>
        <w:ind w:firstLine="709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4785"/>
        <w:gridCol w:w="4785"/>
      </w:tblGrid>
      <w:tr>
        <w:trPr>
          <w:trHeight w:val="301" w:hRule="atLeast"/>
        </w:trPr>
        <w:tc>
          <w:tcPr>
            <w:tcW w:w="4785" w:type="dxa"/>
            <w:tcBorders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Генеральный подрядчик:</w:t>
            </w:r>
          </w:p>
        </w:tc>
        <w:tc>
          <w:tcPr>
            <w:tcW w:w="4785" w:type="dxa"/>
            <w:tcBorders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Субподрядчик:</w:t>
            </w:r>
          </w:p>
        </w:tc>
      </w:tr>
    </w:tbl>
    <w:p>
      <w:pPr>
        <w:pStyle w:val="Normal"/>
        <w:spacing w:before="0" w:after="0"/>
        <w:contextualSpacing/>
        <w:rPr>
          <w:sz w:val="22"/>
          <w:szCs w:val="22"/>
        </w:rPr>
      </w:pPr>
      <w:r>
        <w:rPr/>
      </w:r>
    </w:p>
    <w:sectPr>
      <w:headerReference w:type="default" r:id="rId4"/>
      <w:footnotePr>
        <w:numFmt w:val="decimal"/>
      </w:footnotePr>
      <w:type w:val="continuous"/>
      <w:pgSz w:w="11906" w:h="16838"/>
      <w:pgMar w:left="1418" w:right="709" w:gutter="0" w:header="709" w:top="766" w:footer="0" w:bottom="851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Calibri">
    <w:charset w:val="01"/>
    <w:family w:val="roman"/>
    <w:pitch w:val="variable"/>
  </w:font>
  <w:font w:name="Trebuchet MS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Courier New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rPr/>
      </w:pPr>
      <w:r>
        <w:rPr>
          <w:rStyle w:val="Style5"/>
        </w:rPr>
        <w:t>19</w:t>
      </w:r>
      <w:r>
        <w:rPr>
          <w:rStyle w:val="Style5"/>
        </w:rPr>
        <w:t>19</w:t>
      </w:r>
      <w:r>
        <w:rPr/>
        <w:t xml:space="preserve"> Требования подлежат обязательному включению в состав документации о закупке и не распространяются на гарантов по независимым гарантиям, предоставляемым в обеспечение исполнения договоров, заключаемых по результатам конкурентной закупки с участием МСП, которые принимаются от МСП </w:t>
        <w:br/>
        <w:t>в соответствии с Федеральным законом от 18.07.2011 № 223-ФЗ «О закупках товаров, работ, услуг отдельными видами юридических лиц»,</w:t>
      </w:r>
      <w:r>
        <w:rPr>
          <w:iCs/>
          <w:color w:val="FF0000"/>
          <w:sz w:val="24"/>
          <w:szCs w:val="24"/>
        </w:rPr>
        <w:t xml:space="preserve"> </w:t>
      </w:r>
      <w:r>
        <w:rPr>
          <w:iCs/>
        </w:rPr>
        <w:t xml:space="preserve">а также по независимым гарантиям, предоставляемым </w:t>
        <w:br/>
        <w:t xml:space="preserve">в обеспечение исполнения договоров, заключаемых по результатам конкурентной закупки в соответствии </w:t>
        <w:br/>
        <w:t>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</w:t>
      </w:r>
      <w:r>
        <w:rPr/>
        <w:t>.</w:t>
      </w:r>
    </w:p>
    <w:p>
      <w:pPr>
        <w:pStyle w:val="FootnoteText"/>
        <w:rPr/>
      </w:pPr>
      <w:r>
        <w:rPr/>
      </w:r>
    </w:p>
  </w:footnote>
  <w:footnote w:id="3">
    <w:p>
      <w:pPr>
        <w:pStyle w:val="FootnoteText"/>
        <w:jc w:val="both"/>
        <w:rPr/>
      </w:pPr>
      <w:r>
        <w:rPr>
          <w:rStyle w:val="Style5"/>
        </w:rPr>
        <w:t>20</w:t>
      </w:r>
      <w:r>
        <w:rPr>
          <w:rStyle w:val="Style5"/>
        </w:rPr>
        <w:t>20</w:t>
      </w:r>
      <w:r>
        <w:rPr/>
        <w:t xml:space="preserve"> Актуальный Перечень Банков-Гарантов Группы РусГидро размещен на официальном сайте Общества http://zakupki.rushydro.ru/PublicContent/Section/6.</w:t>
      </w:r>
    </w:p>
    <w:p>
      <w:pPr>
        <w:pStyle w:val="FootnoteText"/>
        <w:rPr/>
      </w:pPr>
      <w:r>
        <w:rPr/>
      </w:r>
    </w:p>
  </w:footnote>
  <w:footnote w:id="4">
    <w:p>
      <w:pPr>
        <w:pStyle w:val="FootnoteText"/>
        <w:jc w:val="both"/>
        <w:rPr/>
      </w:pPr>
      <w:r>
        <w:rPr>
          <w:rStyle w:val="Style5"/>
        </w:rPr>
        <w:t>21</w:t>
      </w:r>
      <w:r>
        <w:rPr>
          <w:rStyle w:val="Style5"/>
        </w:rPr>
        <w:t>21</w:t>
      </w:r>
      <w:r>
        <w:rPr/>
        <w:t xml:space="preserve"> Если кредитная организация имеет рейтинги кредитоспособности разных уровней, присвоенные разными рейтинговыми агентствами, то в качестве рейтинга кредитоспособности принимается максимальный </w:t>
        <w:br/>
        <w:t xml:space="preserve">из присвоенных (по данным сайта кредитной организации и /или рейтинговых агентств и/или </w:t>
        <w:br/>
        <w:t>из информационных систем Reuters, Bloomberg, Сbonds).</w:t>
      </w:r>
    </w:p>
    <w:p>
      <w:pPr>
        <w:pStyle w:val="FootnoteText"/>
        <w:rPr/>
      </w:pPr>
      <w:r>
        <w:rPr/>
      </w:r>
    </w:p>
  </w:footnote>
  <w:footnote w:id="5">
    <w:p>
      <w:pPr>
        <w:pStyle w:val="FootnoteText"/>
        <w:rPr/>
      </w:pPr>
      <w:r>
        <w:rPr>
          <w:rStyle w:val="Style5"/>
        </w:rPr>
        <w:t>22</w:t>
      </w:r>
      <w:r>
        <w:rPr>
          <w:rStyle w:val="Style5"/>
        </w:rPr>
        <w:t>22</w:t>
      </w:r>
      <w:r>
        <w:rPr/>
        <w:t xml:space="preserve"> Данное требование не применяется в отношении небанковских кредитных организаций.</w:t>
      </w:r>
    </w:p>
  </w:footnote>
  <w:footnote w:id="6">
    <w:p>
      <w:pPr>
        <w:pStyle w:val="FootnoteText"/>
        <w:jc w:val="both"/>
        <w:rPr/>
      </w:pPr>
      <w:r>
        <w:rPr>
          <w:rStyle w:val="Style5"/>
        </w:rPr>
        <w:t>23</w:t>
      </w:r>
      <w:r>
        <w:rPr>
          <w:rStyle w:val="Style5"/>
        </w:rPr>
        <w:t>23</w:t>
      </w:r>
      <w:r>
        <w:rPr/>
        <w:t xml:space="preserve"> При издании ПО организационно-распорядительного документа о ТФУ данный критерий может быть исключен.</w:t>
      </w:r>
    </w:p>
    <w:p>
      <w:pPr>
        <w:pStyle w:val="FootnoteText"/>
        <w:rPr/>
      </w:pPr>
      <w:r>
        <w:rPr/>
      </w:r>
    </w:p>
  </w:footnote>
  <w:footnote w:id="7">
    <w:p>
      <w:pPr>
        <w:pStyle w:val="FootnoteText"/>
        <w:jc w:val="both"/>
        <w:rPr/>
      </w:pPr>
      <w:r>
        <w:rPr>
          <w:rStyle w:val="Style5"/>
        </w:rPr>
        <w:t>23</w:t>
      </w:r>
      <w:r>
        <w:rPr>
          <w:rStyle w:val="Style5"/>
        </w:rPr>
        <w:t>23</w:t>
      </w:r>
      <w:r>
        <w:rPr/>
        <w:t xml:space="preserve"> Значение показателя округляется в большую или меньшую сторону до суммы, кратной 100 млн. руб. </w:t>
        <w:br/>
        <w:t xml:space="preserve">по правилам математического округления. В случае если первая из отделяемых цифр меньше 5, то значение показателя округляется в меньшую сторону; если первая из отделяемых цифр больше 5, то значение показателя округляется в большую сторону. Например, расчетное значение лимита - 5 440 млн. руб., лимит </w:t>
        <w:br/>
        <w:t xml:space="preserve">к установлению - 5 400 млн. руб.; расчетное значение лимита - 5 450 млн. руб., лимит к установлению - </w:t>
        <w:br/>
        <w:t>5 500 млн. руб.</w:t>
      </w:r>
    </w:p>
    <w:p>
      <w:pPr>
        <w:pStyle w:val="FootnoteText"/>
        <w:rPr/>
      </w:pPr>
      <w:r>
        <w:rPr/>
      </w:r>
    </w:p>
  </w:footnote>
  <w:footnote w:id="8">
    <w:p>
      <w:pPr>
        <w:pStyle w:val="FootnoteText"/>
        <w:jc w:val="both"/>
        <w:rPr/>
      </w:pPr>
      <w:r>
        <w:rPr>
          <w:rStyle w:val="Style5"/>
        </w:rPr>
        <w:t>24</w:t>
      </w:r>
      <w:r>
        <w:rPr>
          <w:rStyle w:val="Style5"/>
        </w:rPr>
        <w:t>24</w:t>
      </w:r>
      <w:r>
        <w:rPr/>
        <w:t xml:space="preserve"> Если кредитная организация имеет рейтинги кредитоспособности разных уровней, присвоенные разными рейтинговыми агентствами, то в качестве рейтинга кредитоспособности принимается максимальный </w:t>
        <w:br/>
        <w:t xml:space="preserve">из присвоенных (по данным сайта кредитной организации и / или рейтинговых агентств и/или </w:t>
        <w:br/>
        <w:t>из информационных систем Reuters, Bloomberg, Сbonds).</w:t>
      </w:r>
    </w:p>
    <w:p>
      <w:pPr>
        <w:pStyle w:val="FootnoteText"/>
        <w:rPr/>
      </w:pPr>
      <w:r>
        <w:rPr/>
      </w:r>
    </w:p>
  </w:footnote>
  <w:footnote w:id="9">
    <w:p>
      <w:pPr>
        <w:pStyle w:val="FootnoteText"/>
        <w:rPr/>
      </w:pPr>
      <w:r>
        <w:rPr>
          <w:rStyle w:val="Style5"/>
        </w:rPr>
        <w:t>25</w:t>
      </w:r>
      <w:r>
        <w:rPr>
          <w:rStyle w:val="Style5"/>
        </w:rPr>
        <w:t>25</w:t>
      </w:r>
      <w:r>
        <w:rPr/>
        <w:t xml:space="preserve"> Для Договоров, заключенных с МСП (в соответствии с п. 2.4.2.7 Методики ТФУ) по результатам неконкурентных закупочных процедур (или конкурентных закупочных процедур не в электронной форме) только среди МСП, связанных с реализацией программ «Техническое перевооружение и реконструкция» и «Новое строительство» (за исключением договоров на выполнение проектных и изыскательских работ), результатом которых является ввод оборудования / объекта в эксплуатацию.</w:t>
      </w:r>
    </w:p>
  </w:footnote>
  <w:footnote w:id="10">
    <w:p>
      <w:pPr>
        <w:pStyle w:val="FootnoteText"/>
        <w:jc w:val="both"/>
        <w:rPr/>
      </w:pPr>
      <w:r>
        <w:rPr>
          <w:rStyle w:val="Style5"/>
        </w:rPr>
        <w:t>25.1</w:t>
      </w:r>
      <w:r>
        <w:rPr>
          <w:rStyle w:val="Style5"/>
        </w:rPr>
        <w:t>25.1</w:t>
      </w:r>
      <w:r>
        <w:rPr/>
        <w:t xml:space="preserve"> </w:t>
      </w:r>
      <w:r>
        <w:rPr>
          <w:rStyle w:val="Style5"/>
        </w:rPr>
        <w:t xml:space="preserve"> </w:t>
      </w:r>
      <w:r>
        <w:rPr/>
        <w:t>Для Договоров, заключенных с МСП (в соответствии с п. 2.4.2.7 Методики ТФУ) по результатам неконкурентных закупочных процедур (или конкурентных закупочных процедур не в электронной форме) только среди МСП, связанных с реализацией программ «Техническое перевооружение и реконструкция» и «Новое строительство» (за исключением договоров на выполнение проектных и изыскательских работ), результатом которых является ввод оборудования / объекта в эксплуатацию.</w:t>
      </w:r>
    </w:p>
    <w:p>
      <w:pPr>
        <w:pStyle w:val="FootnoteText"/>
        <w:rPr/>
      </w:pPr>
      <w:r>
        <w:rPr/>
      </w:r>
    </w:p>
  </w:footnote>
  <w:footnote w:id="11">
    <w:p>
      <w:pPr>
        <w:pStyle w:val="FootnoteText"/>
        <w:jc w:val="both"/>
        <w:rPr/>
      </w:pPr>
      <w:r>
        <w:rPr>
          <w:rStyle w:val="Style5"/>
        </w:rPr>
        <w:t>26</w:t>
      </w:r>
      <w:r>
        <w:rPr>
          <w:rStyle w:val="Style5"/>
        </w:rPr>
        <w:t>26</w:t>
      </w:r>
      <w:r>
        <w:rPr/>
        <w:t xml:space="preserve"> Только для банковской гарантии возврата авансового платежа. Не применяется в случае приемки этапа работ по актам освидетельствования выполненных работ.</w:t>
      </w:r>
    </w:p>
    <w:p>
      <w:pPr>
        <w:pStyle w:val="FootnoteText"/>
        <w:rPr/>
      </w:pPr>
      <w:r>
        <w:rPr/>
      </w:r>
    </w:p>
  </w:footnote>
  <w:footnote w:id="12">
    <w:p>
      <w:pPr>
        <w:pStyle w:val="FootnoteText"/>
        <w:jc w:val="both"/>
        <w:rPr/>
      </w:pPr>
      <w:r>
        <w:rPr>
          <w:rStyle w:val="Style5"/>
        </w:rPr>
        <w:t>27</w:t>
      </w:r>
      <w:r>
        <w:rPr>
          <w:rStyle w:val="Style5"/>
        </w:rPr>
        <w:t>27</w:t>
      </w:r>
      <w:r>
        <w:rPr/>
        <w:t xml:space="preserve"> Для Договоров на выполнение работ по комплексной замене гидроагрегатов (гидротурбин, гидрогенераторов) и Договоров генерального подряда по программе «Новое строительство».</w:t>
      </w:r>
    </w:p>
    <w:p>
      <w:pPr>
        <w:pStyle w:val="FootnoteText"/>
        <w:rPr/>
      </w:pPr>
      <w:r>
        <w:rPr/>
      </w:r>
    </w:p>
  </w:footnote>
  <w:footnote w:id="13">
    <w:p>
      <w:pPr>
        <w:pStyle w:val="FootnoteText"/>
        <w:jc w:val="both"/>
        <w:rPr/>
      </w:pPr>
      <w:r>
        <w:rPr>
          <w:rStyle w:val="Style5"/>
        </w:rPr>
        <w:t>27.1</w:t>
      </w:r>
      <w:r>
        <w:rPr>
          <w:rStyle w:val="Style5"/>
        </w:rPr>
        <w:t>27.1</w:t>
      </w:r>
      <w:r>
        <w:rPr/>
        <w:t xml:space="preserve"> Для договоров на поставку основного технологического оборудования, связанных с реализацией программ «Новое строительство» и «Техническое перевооружение и реконструкция».</w:t>
      </w:r>
    </w:p>
    <w:p>
      <w:pPr>
        <w:pStyle w:val="FootnoteText"/>
        <w:rPr/>
      </w:pPr>
      <w:r>
        <w:rPr/>
      </w:r>
    </w:p>
  </w:footnote>
  <w:footnote w:id="14">
    <w:p>
      <w:pPr>
        <w:pStyle w:val="FootnoteText"/>
        <w:rPr/>
      </w:pPr>
      <w:r>
        <w:rPr>
          <w:rStyle w:val="Style5"/>
        </w:rPr>
        <w:t>28</w:t>
      </w:r>
      <w:r>
        <w:rPr>
          <w:rStyle w:val="Style5"/>
        </w:rPr>
        <w:t>28</w:t>
      </w:r>
      <w:r>
        <w:rPr/>
        <w:t xml:space="preserve"> В соответствии со ст. 753 Гражданского кодекса Российской Федерации.</w:t>
      </w:r>
    </w:p>
    <w:p>
      <w:pPr>
        <w:pStyle w:val="FootnoteText"/>
        <w:rPr/>
      </w:pPr>
      <w:r>
        <w:rPr/>
      </w:r>
    </w:p>
  </w:footnote>
  <w:footnote w:id="15">
    <w:p>
      <w:pPr>
        <w:pStyle w:val="FootnoteText"/>
        <w:jc w:val="both"/>
        <w:rPr/>
      </w:pPr>
      <w:r>
        <w:rPr>
          <w:rStyle w:val="Style5"/>
        </w:rPr>
        <w:t>29</w:t>
      </w:r>
      <w:r>
        <w:rPr>
          <w:rStyle w:val="Style5"/>
        </w:rPr>
        <w:t>29</w:t>
      </w:r>
      <w:r>
        <w:rPr/>
        <w:t xml:space="preserve"> При издании ПО организационно-распорядительного документа о ТФУ указывается наименование </w:t>
        <w:br/>
        <w:t>и местонахождение соответствующего судебного органа.</w:t>
      </w:r>
    </w:p>
    <w:p>
      <w:pPr>
        <w:pStyle w:val="FootnoteText"/>
        <w:rPr/>
      </w:pPr>
      <w:r>
        <w:rPr/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5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708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i w:val="false"/>
        <w:b w:val="fals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  <w:documentProtection w:edit="forms" w:enforcement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semiHidden="1" w:unhideWhenUsed="1"/>
    <w:lsdException w:name="header" w:uiPriority="99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95e4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rsid w:val="0009663b"/>
    <w:pPr>
      <w:keepNext w:val="true"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link w:val="2"/>
    <w:unhideWhenUsed/>
    <w:qFormat/>
    <w:rsid w:val="00ea2f78"/>
    <w:pPr>
      <w:keepNext w:val="true"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3"/>
    <w:semiHidden/>
    <w:unhideWhenUsed/>
    <w:qFormat/>
    <w:rsid w:val="00415822"/>
    <w:pPr>
      <w:keepNext w:val="true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4"/>
    <w:unhideWhenUsed/>
    <w:qFormat/>
    <w:rsid w:val="00442f3a"/>
    <w:pPr>
      <w:keepNext w:val="true"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5" w:customStyle="1">
    <w:name w:val="Символ сноски"/>
    <w:qFormat/>
    <w:rsid w:val="00f011bd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Defaultlabelstyle1" w:customStyle="1">
    <w:name w:val="defaultlabelstyle1"/>
    <w:qFormat/>
    <w:rsid w:val="00e622ba"/>
    <w:rPr>
      <w:rFonts w:ascii="Trebuchet MS" w:hAnsi="Trebuchet MS"/>
      <w:color w:val="333333"/>
    </w:rPr>
  </w:style>
  <w:style w:type="character" w:styleId="Annotationreference">
    <w:name w:val="annotation reference"/>
    <w:qFormat/>
    <w:rsid w:val="00ec5803"/>
    <w:rPr>
      <w:sz w:val="16"/>
      <w:szCs w:val="16"/>
    </w:rPr>
  </w:style>
  <w:style w:type="character" w:styleId="Style6" w:customStyle="1">
    <w:name w:val="Текст примечания Знак"/>
    <w:basedOn w:val="DefaultParagraphFont"/>
    <w:link w:val="Annotationtext"/>
    <w:uiPriority w:val="99"/>
    <w:qFormat/>
    <w:rsid w:val="00ec5803"/>
    <w:rPr/>
  </w:style>
  <w:style w:type="character" w:styleId="Style7" w:customStyle="1">
    <w:name w:val="Тема примечания Знак"/>
    <w:link w:val="Annotationsubject"/>
    <w:qFormat/>
    <w:rsid w:val="00ec5803"/>
    <w:rPr>
      <w:b/>
      <w:bCs/>
    </w:rPr>
  </w:style>
  <w:style w:type="character" w:styleId="Style8" w:customStyle="1">
    <w:name w:val="Основной текст с отступом Знак"/>
    <w:qFormat/>
    <w:rsid w:val="006c5cab"/>
    <w:rPr>
      <w:sz w:val="24"/>
      <w:szCs w:val="24"/>
    </w:rPr>
  </w:style>
  <w:style w:type="character" w:styleId="Style9" w:customStyle="1">
    <w:name w:val="Название Знак"/>
    <w:link w:val="12"/>
    <w:qFormat/>
    <w:rsid w:val="003f4805"/>
    <w:rPr>
      <w:rFonts w:eastAsia="Calibri"/>
      <w:b/>
      <w:bCs/>
      <w:sz w:val="28"/>
      <w:szCs w:val="28"/>
      <w:lang w:val="x-none"/>
    </w:rPr>
  </w:style>
  <w:style w:type="character" w:styleId="FontStyle16" w:customStyle="1">
    <w:name w:val="Font Style16"/>
    <w:qFormat/>
    <w:rsid w:val="00883d71"/>
    <w:rPr>
      <w:rFonts w:ascii="Times New Roman" w:hAnsi="Times New Roman" w:cs="Times New Roman"/>
      <w:b/>
      <w:bCs/>
      <w:sz w:val="22"/>
      <w:szCs w:val="22"/>
    </w:rPr>
  </w:style>
  <w:style w:type="character" w:styleId="FontStyle17" w:customStyle="1">
    <w:name w:val="Font Style17"/>
    <w:qFormat/>
    <w:rsid w:val="00883d71"/>
    <w:rPr>
      <w:rFonts w:ascii="Times New Roman" w:hAnsi="Times New Roman" w:cs="Times New Roman"/>
      <w:sz w:val="22"/>
      <w:szCs w:val="22"/>
    </w:rPr>
  </w:style>
  <w:style w:type="character" w:styleId="Doc-head-text1" w:customStyle="1">
    <w:name w:val="doc-head-text1"/>
    <w:qFormat/>
    <w:rsid w:val="008349d0"/>
    <w:rPr>
      <w:color w:val="000000"/>
      <w:sz w:val="20"/>
      <w:szCs w:val="20"/>
    </w:rPr>
  </w:style>
  <w:style w:type="character" w:styleId="Postbody1" w:customStyle="1">
    <w:name w:val="postbody1"/>
    <w:qFormat/>
    <w:rsid w:val="003b02e9"/>
    <w:rPr>
      <w:sz w:val="18"/>
      <w:szCs w:val="18"/>
    </w:rPr>
  </w:style>
  <w:style w:type="character" w:styleId="Style10" w:customStyle="1">
    <w:name w:val="Текст сноски Знак"/>
    <w:basedOn w:val="DefaultParagraphFont"/>
    <w:qFormat/>
    <w:rsid w:val="00063060"/>
    <w:rPr/>
  </w:style>
  <w:style w:type="character" w:styleId="Style11" w:customStyle="1">
    <w:name w:val="Верхний колонтитул Знак"/>
    <w:uiPriority w:val="99"/>
    <w:qFormat/>
    <w:rsid w:val="00d95d54"/>
    <w:rPr>
      <w:sz w:val="24"/>
      <w:szCs w:val="24"/>
    </w:rPr>
  </w:style>
  <w:style w:type="character" w:styleId="Style12" w:customStyle="1">
    <w:name w:val="Нижний колонтитул Знак"/>
    <w:qFormat/>
    <w:rsid w:val="00d95d54"/>
    <w:rPr>
      <w:sz w:val="24"/>
      <w:szCs w:val="24"/>
    </w:rPr>
  </w:style>
  <w:style w:type="character" w:styleId="1" w:customStyle="1">
    <w:name w:val="Заголовок 1 Знак"/>
    <w:qFormat/>
    <w:rsid w:val="0009663b"/>
    <w:rPr>
      <w:rFonts w:ascii="Cambria" w:hAnsi="Cambria" w:eastAsia="Times New Roman" w:cs="Times New Roman"/>
      <w:b/>
      <w:bCs/>
      <w:kern w:val="2"/>
      <w:sz w:val="32"/>
      <w:szCs w:val="32"/>
    </w:rPr>
  </w:style>
  <w:style w:type="character" w:styleId="2" w:customStyle="1">
    <w:name w:val="Заголовок 2 Знак"/>
    <w:qFormat/>
    <w:rsid w:val="00415822"/>
    <w:rPr>
      <w:rFonts w:ascii="Cambria" w:hAnsi="Cambria"/>
      <w:b/>
      <w:bCs/>
      <w:i/>
      <w:iCs/>
      <w:sz w:val="28"/>
      <w:szCs w:val="28"/>
    </w:rPr>
  </w:style>
  <w:style w:type="character" w:styleId="Hyperlink">
    <w:name w:val="Hyperlink"/>
    <w:uiPriority w:val="99"/>
    <w:unhideWhenUsed/>
    <w:rsid w:val="00415822"/>
    <w:rPr>
      <w:color w:val="0000FF"/>
      <w:u w:val="single"/>
    </w:rPr>
  </w:style>
  <w:style w:type="character" w:styleId="3" w:customStyle="1">
    <w:name w:val="Заголовок 3 Знак"/>
    <w:semiHidden/>
    <w:qFormat/>
    <w:rsid w:val="00415822"/>
    <w:rPr>
      <w:rFonts w:ascii="Cambria" w:hAnsi="Cambria" w:eastAsia="Times New Roman" w:cs="Times New Roman"/>
      <w:b/>
      <w:bCs/>
      <w:sz w:val="26"/>
      <w:szCs w:val="26"/>
    </w:rPr>
  </w:style>
  <w:style w:type="character" w:styleId="4" w:customStyle="1">
    <w:name w:val="Заголовок 4 Знак"/>
    <w:qFormat/>
    <w:rsid w:val="00442f3a"/>
    <w:rPr>
      <w:rFonts w:ascii="Calibri" w:hAnsi="Calibri" w:eastAsia="Times New Roman" w:cs="Times New Roman"/>
      <w:b/>
      <w:bCs/>
      <w:sz w:val="28"/>
      <w:szCs w:val="28"/>
    </w:rPr>
  </w:style>
  <w:style w:type="character" w:styleId="Doc-head-title1" w:customStyle="1">
    <w:name w:val="doc-head-title1"/>
    <w:qFormat/>
    <w:rsid w:val="005c2727"/>
    <w:rPr>
      <w:b/>
      <w:bCs/>
      <w:color w:val="114477"/>
      <w:sz w:val="20"/>
      <w:szCs w:val="20"/>
    </w:rPr>
  </w:style>
  <w:style w:type="character" w:styleId="Style13" w:customStyle="1">
    <w:name w:val="Основной текст Знак"/>
    <w:qFormat/>
    <w:rsid w:val="007d63cc"/>
    <w:rPr>
      <w:sz w:val="24"/>
      <w:szCs w:val="24"/>
    </w:rPr>
  </w:style>
  <w:style w:type="character" w:styleId="Style14" w:customStyle="1">
    <w:name w:val="Текст концевой сноски Знак"/>
    <w:basedOn w:val="DefaultParagraphFont"/>
    <w:qFormat/>
    <w:rsid w:val="009e19af"/>
    <w:rPr/>
  </w:style>
  <w:style w:type="character" w:styleId="Style15" w:customStyle="1">
    <w:name w:val="Символ концевой сноски"/>
    <w:qFormat/>
    <w:rsid w:val="009e19af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11" w:customStyle="1">
    <w:name w:val="Знак сноски1"/>
    <w:qFormat/>
    <w:rsid w:val="006a6065"/>
    <w:rPr>
      <w:vertAlign w:val="superscript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link w:val="Style13"/>
    <w:rsid w:val="007d63cc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 Unicode MS"/>
      <w:i/>
      <w:iCs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</w:rPr>
  </w:style>
  <w:style w:type="paragraph" w:styleId="Indexheading11" w:customStyle="1">
    <w:name w:val="index heading11"/>
    <w:basedOn w:val="Title"/>
    <w:qFormat/>
    <w:pPr/>
    <w:rPr/>
  </w:style>
  <w:style w:type="paragraph" w:styleId="Style18" w:customStyle="1">
    <w:name w:val="Знак"/>
    <w:basedOn w:val="Normal"/>
    <w:qFormat/>
    <w:rsid w:val="00f011b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BodyTextIndent">
    <w:name w:val="Body Text Indent"/>
    <w:basedOn w:val="Normal"/>
    <w:link w:val="Style8"/>
    <w:rsid w:val="00077e6b"/>
    <w:pPr>
      <w:ind w:left="360" w:hanging="0"/>
    </w:pPr>
    <w:rPr/>
  </w:style>
  <w:style w:type="paragraph" w:styleId="BalloonText">
    <w:name w:val="Balloon Text"/>
    <w:basedOn w:val="Normal"/>
    <w:semiHidden/>
    <w:qFormat/>
    <w:rsid w:val="00b0611d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6"/>
    <w:uiPriority w:val="99"/>
    <w:qFormat/>
    <w:rsid w:val="00ec5803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7"/>
    <w:qFormat/>
    <w:rsid w:val="00ec5803"/>
    <w:pPr/>
    <w:rPr>
      <w:b/>
      <w:bCs/>
      <w:lang w:val="x-none" w:eastAsia="x-none"/>
    </w:rPr>
  </w:style>
  <w:style w:type="paragraph" w:styleId="Revision">
    <w:name w:val="Revision"/>
    <w:uiPriority w:val="99"/>
    <w:semiHidden/>
    <w:qFormat/>
    <w:rsid w:val="00ec5803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ListBullet">
    <w:name w:val="List Bullet"/>
    <w:basedOn w:val="Normal"/>
    <w:qFormat/>
    <w:rsid w:val="0033196a"/>
    <w:pPr>
      <w:numPr>
        <w:ilvl w:val="0"/>
        <w:numId w:val="1"/>
      </w:numPr>
      <w:spacing w:before="0" w:after="0"/>
      <w:contextualSpacing/>
    </w:pPr>
    <w:rPr/>
  </w:style>
  <w:style w:type="paragraph" w:styleId="12" w:customStyle="1">
    <w:name w:val="Название1"/>
    <w:basedOn w:val="Normal"/>
    <w:link w:val="Style9"/>
    <w:qFormat/>
    <w:rsid w:val="003f4805"/>
    <w:pPr>
      <w:widowControl w:val="false"/>
      <w:spacing w:lineRule="auto" w:line="360"/>
      <w:jc w:val="center"/>
    </w:pPr>
    <w:rPr>
      <w:rFonts w:eastAsia="Calibri"/>
      <w:b/>
      <w:bCs/>
      <w:sz w:val="28"/>
      <w:szCs w:val="28"/>
      <w:lang w:val="x-none"/>
    </w:rPr>
  </w:style>
  <w:style w:type="paragraph" w:styleId="ListParagraph">
    <w:name w:val="List Paragraph"/>
    <w:basedOn w:val="Normal"/>
    <w:uiPriority w:val="34"/>
    <w:qFormat/>
    <w:rsid w:val="005d2526"/>
    <w:pPr>
      <w:spacing w:lineRule="auto" w:line="276" w:before="0" w:after="200"/>
      <w:ind w:left="720" w:hanging="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Style41" w:customStyle="1">
    <w:name w:val="Style4"/>
    <w:basedOn w:val="Normal"/>
    <w:qFormat/>
    <w:rsid w:val="00883d71"/>
    <w:pPr>
      <w:widowControl w:val="false"/>
    </w:pPr>
    <w:rPr/>
  </w:style>
  <w:style w:type="paragraph" w:styleId="Style51" w:customStyle="1">
    <w:name w:val="Style5"/>
    <w:basedOn w:val="Normal"/>
    <w:qFormat/>
    <w:rsid w:val="00883d71"/>
    <w:pPr>
      <w:widowControl w:val="false"/>
      <w:spacing w:lineRule="exact" w:line="274"/>
      <w:ind w:firstLine="739"/>
    </w:pPr>
    <w:rPr/>
  </w:style>
  <w:style w:type="paragraph" w:styleId="Style19" w:customStyle="1">
    <w:name w:val="Письмо"/>
    <w:basedOn w:val="Normal"/>
    <w:qFormat/>
    <w:rsid w:val="0065370d"/>
    <w:pPr>
      <w:ind w:firstLine="720"/>
      <w:jc w:val="both"/>
    </w:pPr>
    <w:rPr>
      <w:sz w:val="28"/>
      <w:szCs w:val="28"/>
    </w:rPr>
  </w:style>
  <w:style w:type="paragraph" w:styleId="ConsPlusCell" w:customStyle="1">
    <w:name w:val="ConsPlusCell"/>
    <w:uiPriority w:val="99"/>
    <w:qFormat/>
    <w:rsid w:val="00c636d8"/>
    <w:pPr>
      <w:widowControl w:val="false"/>
      <w:suppressAutoHyphens w:val="true"/>
      <w:bidi w:val="0"/>
      <w:spacing w:before="0" w:after="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13" w:customStyle="1">
    <w:name w:val="Абзац списка1"/>
    <w:basedOn w:val="Normal"/>
    <w:qFormat/>
    <w:rsid w:val="00e71d74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FootnoteText">
    <w:name w:val="Footnote Text"/>
    <w:basedOn w:val="Normal"/>
    <w:link w:val="Style10"/>
    <w:rsid w:val="00063060"/>
    <w:pPr/>
    <w:rPr>
      <w:sz w:val="20"/>
      <w:szCs w:val="20"/>
    </w:rPr>
  </w:style>
  <w:style w:type="paragraph" w:styleId="Style20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1"/>
    <w:uiPriority w:val="99"/>
    <w:rsid w:val="00d95d54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2"/>
    <w:rsid w:val="00d95d54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IndexHeading">
    <w:name w:val="Index Heading"/>
    <w:basedOn w:val="Style16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09663b"/>
    <w:pPr>
      <w:keepLines/>
      <w:spacing w:lineRule="auto" w:line="276" w:before="480" w:after="0"/>
      <w:outlineLvl w:val="9"/>
    </w:pPr>
    <w:rPr>
      <w:color w:val="365F91"/>
      <w:kern w:val="0"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09663b"/>
    <w:pPr>
      <w:spacing w:before="240" w:after="0"/>
    </w:pPr>
    <w:rPr>
      <w:rFonts w:ascii="Calibri" w:hAnsi="Calibri"/>
      <w:b/>
      <w:bCs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a8437b"/>
    <w:pPr>
      <w:tabs>
        <w:tab w:val="clear" w:pos="708"/>
        <w:tab w:val="left" w:pos="480" w:leader="none"/>
        <w:tab w:val="right" w:pos="9486" w:leader="dot"/>
      </w:tabs>
      <w:spacing w:before="360" w:after="0"/>
      <w:jc w:val="both"/>
    </w:pPr>
    <w:rPr>
      <w:bCs/>
      <w:caps/>
      <w:sz w:val="28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09663b"/>
    <w:pPr>
      <w:ind w:left="240" w:hanging="0"/>
    </w:pPr>
    <w:rPr>
      <w:rFonts w:ascii="Calibri" w:hAnsi="Calibr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09663b"/>
    <w:pPr>
      <w:ind w:left="480" w:hanging="0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autoRedefine/>
    <w:rsid w:val="0009663b"/>
    <w:pPr>
      <w:ind w:left="720" w:hanging="0"/>
    </w:pPr>
    <w:rPr>
      <w:rFonts w:ascii="Calibri" w:hAnsi="Calibri"/>
      <w:sz w:val="20"/>
      <w:szCs w:val="20"/>
    </w:rPr>
  </w:style>
  <w:style w:type="paragraph" w:styleId="TOC6">
    <w:name w:val="TOC 6"/>
    <w:basedOn w:val="Normal"/>
    <w:next w:val="Normal"/>
    <w:autoRedefine/>
    <w:rsid w:val="0009663b"/>
    <w:pPr>
      <w:ind w:left="960" w:hanging="0"/>
    </w:pPr>
    <w:rPr>
      <w:rFonts w:ascii="Calibri" w:hAnsi="Calibri"/>
      <w:sz w:val="20"/>
      <w:szCs w:val="20"/>
    </w:rPr>
  </w:style>
  <w:style w:type="paragraph" w:styleId="TOC7">
    <w:name w:val="TOC 7"/>
    <w:basedOn w:val="Normal"/>
    <w:next w:val="Normal"/>
    <w:autoRedefine/>
    <w:rsid w:val="0009663b"/>
    <w:pPr>
      <w:ind w:left="1200" w:hanging="0"/>
    </w:pPr>
    <w:rPr>
      <w:rFonts w:ascii="Calibri" w:hAnsi="Calibri"/>
      <w:sz w:val="20"/>
      <w:szCs w:val="20"/>
    </w:rPr>
  </w:style>
  <w:style w:type="paragraph" w:styleId="TOC8">
    <w:name w:val="TOC 8"/>
    <w:basedOn w:val="Normal"/>
    <w:next w:val="Normal"/>
    <w:autoRedefine/>
    <w:rsid w:val="0009663b"/>
    <w:pPr>
      <w:ind w:left="1440" w:hanging="0"/>
    </w:pPr>
    <w:rPr>
      <w:rFonts w:ascii="Calibri" w:hAnsi="Calibri"/>
      <w:sz w:val="20"/>
      <w:szCs w:val="20"/>
    </w:rPr>
  </w:style>
  <w:style w:type="paragraph" w:styleId="TOC9">
    <w:name w:val="TOC 9"/>
    <w:basedOn w:val="Normal"/>
    <w:next w:val="Normal"/>
    <w:autoRedefine/>
    <w:rsid w:val="005f68e0"/>
    <w:pPr>
      <w:ind w:left="1680" w:hanging="0"/>
    </w:pPr>
    <w:rPr>
      <w:sz w:val="28"/>
      <w:szCs w:val="20"/>
    </w:rPr>
  </w:style>
  <w:style w:type="paragraph" w:styleId="CharCharCharCharCharChar" w:customStyle="1">
    <w:name w:val="Char Char Знак Знак Char Char Знак Знак Char Char"/>
    <w:basedOn w:val="Normal"/>
    <w:qFormat/>
    <w:rsid w:val="00432609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14" w:customStyle="1">
    <w:name w:val="Обычный1"/>
    <w:qFormat/>
    <w:rsid w:val="00421403"/>
    <w:pPr>
      <w:widowControl w:val="false"/>
      <w:suppressAutoHyphens w:val="true"/>
      <w:bidi w:val="0"/>
      <w:spacing w:lineRule="auto" w:line="300" w:before="0" w:after="0"/>
      <w:ind w:firstLine="680"/>
      <w:jc w:val="both"/>
      <w:textAlignment w:val="baseline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EndnoteText">
    <w:name w:val="Endnote Text"/>
    <w:basedOn w:val="Normal"/>
    <w:link w:val="Style14"/>
    <w:rsid w:val="009e19af"/>
    <w:pPr/>
    <w:rPr>
      <w:sz w:val="20"/>
      <w:szCs w:val="20"/>
    </w:rPr>
  </w:style>
  <w:style w:type="paragraph" w:styleId="ConsPlusNonformat" w:customStyle="1">
    <w:name w:val="ConsPlusNonformat"/>
    <w:qFormat/>
    <w:rsid w:val="0075605d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cs="Courier New" w:eastAsia="Times New Roman"/>
      <w:color w:val="auto"/>
      <w:kern w:val="0"/>
      <w:sz w:val="20"/>
      <w:szCs w:val="20"/>
      <w:lang w:val="ru-RU" w:eastAsia="ru-RU" w:bidi="ar-SA"/>
    </w:rPr>
  </w:style>
  <w:style w:type="paragraph" w:styleId="Style21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22" w:customStyle="1">
    <w:name w:val="Заголовок таблицы"/>
    <w:basedOn w:val="Style21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8">
    <w:name w:val="Table Grid"/>
    <w:basedOn w:val="a2"/>
    <w:uiPriority w:val="59"/>
    <w:rsid w:val="00442f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cbr.ru/" TargetMode="External"/><Relationship Id="rId3" Type="http://schemas.openxmlformats.org/officeDocument/2006/relationships/hyperlink" Target="http://www.cbr.ru/" TargetMode="External"/><Relationship Id="rId4" Type="http://schemas.openxmlformats.org/officeDocument/2006/relationships/header" Target="header1.xml"/><Relationship Id="rId5" Type="http://schemas.openxmlformats.org/officeDocument/2006/relationships/footnotes" Target="footnotes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A6BB8-608B-41A4-8637-E017ABD01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Application>AlterOffice/3.4.0.9$Linux_X86_64 LibreOffice_project/b8daf9e823b1a5463a2f48435ddc2e8696e7d4fc</Application>
  <AppVersion>15.0000</AppVersion>
  <Pages>6</Pages>
  <Words>2339</Words>
  <Characters>16665</Characters>
  <CharactersWithSpaces>18999</CharactersWithSpaces>
  <Paragraphs>97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2023-03-02T08:28:00Z</dcterms:created>
  <dc:creator>Тарабаева Марина Александровна</dc:creator>
  <dc:description/>
  <dc:language>ru-RU</dc:language>
  <cp:lastModifiedBy>metsia@corp.gidroogk.com</cp:lastModifiedBy>
  <cp:lastPrinted>2024-01-31T06:09:00Z</cp:lastPrinted>
  <dcterms:modified xsi:type="dcterms:W3CDTF">2026-07-22T14:17:33Z</dcterms:modified>
  <cp:revision>35</cp:revision>
  <dc:subject/>
  <dc:title>ПРИКАЗ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